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mmary of Survey Approach REVISED" w:id="1"/>
      <w:bookmarkEnd w:id="1"/>
      <w:r>
        <w:rPr>
          <w:b w:val="0"/>
        </w:rPr>
      </w:r>
      <w:r>
        <w:rPr/>
        <w:t>Summary</w:t>
      </w:r>
      <w:r>
        <w:rPr>
          <w:spacing w:val="-4"/>
        </w:rPr>
        <w:t> </w:t>
      </w:r>
      <w:r>
        <w:rPr/>
        <w:t>of Survey</w:t>
      </w:r>
      <w:r>
        <w:rPr>
          <w:spacing w:val="-2"/>
        </w:rPr>
        <w:t> </w:t>
      </w:r>
      <w:r>
        <w:rPr/>
        <w:t>Approach – </w:t>
      </w:r>
      <w:r>
        <w:rPr>
          <w:spacing w:val="-4"/>
        </w:rPr>
        <w:t>LCRA</w:t>
      </w:r>
    </w:p>
    <w:p>
      <w:pPr>
        <w:pStyle w:val="BodyText"/>
        <w:spacing w:before="2"/>
        <w:rPr>
          <w:b/>
          <w:sz w:val="30"/>
        </w:rPr>
      </w:pPr>
    </w:p>
    <w:p>
      <w:pPr>
        <w:pStyle w:val="Heading1"/>
        <w:ind w:left="23" w:firstLine="0"/>
        <w:jc w:val="left"/>
      </w:pPr>
      <w:r>
        <w:rPr>
          <w:spacing w:val="-2"/>
        </w:rPr>
        <w:t>Introduction</w:t>
      </w:r>
    </w:p>
    <w:p>
      <w:pPr>
        <w:pStyle w:val="BodyText"/>
        <w:spacing w:line="278" w:lineRule="auto" w:before="42"/>
        <w:ind w:left="23" w:right="157"/>
        <w:jc w:val="both"/>
      </w:pPr>
      <w:r>
        <w:rPr/>
        <w:t>The</w:t>
      </w:r>
      <w:r>
        <w:rPr>
          <w:spacing w:val="-20"/>
        </w:rPr>
        <w:t> </w:t>
      </w:r>
      <w:r>
        <w:rPr/>
        <w:t>Tenant</w:t>
      </w:r>
      <w:r>
        <w:rPr>
          <w:spacing w:val="-19"/>
        </w:rPr>
        <w:t> </w:t>
      </w:r>
      <w:r>
        <w:rPr/>
        <w:t>Satisfaction</w:t>
      </w:r>
      <w:r>
        <w:rPr>
          <w:spacing w:val="-19"/>
        </w:rPr>
        <w:t> </w:t>
      </w:r>
      <w:r>
        <w:rPr/>
        <w:t>Measures</w:t>
      </w:r>
      <w:r>
        <w:rPr>
          <w:spacing w:val="-20"/>
        </w:rPr>
        <w:t> </w:t>
      </w:r>
      <w:r>
        <w:rPr/>
        <w:t>(TSM)</w:t>
      </w:r>
      <w:r>
        <w:rPr>
          <w:spacing w:val="-19"/>
        </w:rPr>
        <w:t> </w:t>
      </w:r>
      <w:r>
        <w:rPr/>
        <w:t>Standard</w:t>
      </w:r>
      <w:r>
        <w:rPr>
          <w:spacing w:val="-20"/>
        </w:rPr>
        <w:t> </w:t>
      </w:r>
      <w:r>
        <w:rPr/>
        <w:t>requires</w:t>
      </w:r>
      <w:r>
        <w:rPr>
          <w:spacing w:val="-19"/>
        </w:rPr>
        <w:t> </w:t>
      </w:r>
      <w:r>
        <w:rPr/>
        <w:t>all</w:t>
      </w:r>
      <w:r>
        <w:rPr>
          <w:spacing w:val="-19"/>
        </w:rPr>
        <w:t> </w:t>
      </w:r>
      <w:r>
        <w:rPr/>
        <w:t>registered</w:t>
      </w:r>
      <w:r>
        <w:rPr>
          <w:spacing w:val="-20"/>
        </w:rPr>
        <w:t> </w:t>
      </w:r>
      <w:r>
        <w:rPr/>
        <w:t>providers to</w:t>
      </w:r>
      <w:r>
        <w:rPr>
          <w:spacing w:val="-1"/>
        </w:rPr>
        <w:t> </w:t>
      </w:r>
      <w:r>
        <w:rPr/>
        <w:t>generate</w:t>
      </w:r>
      <w:r>
        <w:rPr>
          <w:spacing w:val="-1"/>
        </w:rPr>
        <w:t> </w:t>
      </w:r>
      <w:r>
        <w:rPr/>
        <w:t>and</w:t>
      </w:r>
      <w:r>
        <w:rPr>
          <w:spacing w:val="-2"/>
        </w:rPr>
        <w:t> </w:t>
      </w:r>
      <w:r>
        <w:rPr/>
        <w:t>report</w:t>
      </w:r>
      <w:r>
        <w:rPr>
          <w:spacing w:val="-1"/>
        </w:rPr>
        <w:t> </w:t>
      </w:r>
      <w:r>
        <w:rPr/>
        <w:t>TSMs</w:t>
      </w:r>
      <w:r>
        <w:rPr>
          <w:spacing w:val="-3"/>
        </w:rPr>
        <w:t> </w:t>
      </w:r>
      <w:r>
        <w:rPr/>
        <w:t>as</w:t>
      </w:r>
      <w:r>
        <w:rPr>
          <w:spacing w:val="-1"/>
        </w:rPr>
        <w:t> </w:t>
      </w:r>
      <w:r>
        <w:rPr/>
        <w:t>specified</w:t>
      </w:r>
      <w:r>
        <w:rPr>
          <w:spacing w:val="-1"/>
        </w:rPr>
        <w:t> </w:t>
      </w:r>
      <w:r>
        <w:rPr/>
        <w:t>by</w:t>
      </w:r>
      <w:r>
        <w:rPr>
          <w:spacing w:val="-2"/>
        </w:rPr>
        <w:t> </w:t>
      </w:r>
      <w:r>
        <w:rPr/>
        <w:t>the Regulator</w:t>
      </w:r>
      <w:r>
        <w:rPr>
          <w:spacing w:val="-2"/>
        </w:rPr>
        <w:t> </w:t>
      </w:r>
      <w:r>
        <w:rPr/>
        <w:t>of</w:t>
      </w:r>
      <w:r>
        <w:rPr>
          <w:spacing w:val="-4"/>
        </w:rPr>
        <w:t> </w:t>
      </w:r>
      <w:r>
        <w:rPr/>
        <w:t>Social</w:t>
      </w:r>
      <w:r>
        <w:rPr>
          <w:spacing w:val="-2"/>
        </w:rPr>
        <w:t> </w:t>
      </w:r>
      <w:r>
        <w:rPr/>
        <w:t>Housing.</w:t>
      </w:r>
      <w:r>
        <w:rPr>
          <w:spacing w:val="-2"/>
        </w:rPr>
        <w:t> </w:t>
      </w:r>
      <w:r>
        <w:rPr/>
        <w:t>The questions, and much of the methodology, is prescribed in the Regulator’s </w:t>
      </w:r>
      <w:hyperlink r:id="rId5">
        <w:r>
          <w:rPr>
            <w:color w:val="467885"/>
            <w:u w:val="single" w:color="467885"/>
          </w:rPr>
          <w:t>Tenant</w:t>
        </w:r>
      </w:hyperlink>
      <w:r>
        <w:rPr>
          <w:color w:val="467885"/>
          <w:u w:val="none"/>
        </w:rPr>
        <w:t> </w:t>
      </w:r>
      <w:hyperlink r:id="rId5">
        <w:r>
          <w:rPr>
            <w:color w:val="467885"/>
            <w:u w:val="single" w:color="467885"/>
          </w:rPr>
          <w:t>Satisfaction Measures – Tenant Survey Requirements</w:t>
        </w:r>
      </w:hyperlink>
      <w:r>
        <w:rPr>
          <w:color w:val="467885"/>
          <w:u w:val="none"/>
        </w:rPr>
        <w:t> </w:t>
      </w:r>
      <w:r>
        <w:rPr>
          <w:u w:val="none"/>
        </w:rPr>
        <w:t>document. However, providers do have a degree of flexibility so, to provide maximum transparency, they must summarise their approach to conducting the surveys alongside any published results. That is the purpose of this document – so it is clear how Curo went about gathering customer feedback through the TSM perception survey </w:t>
      </w:r>
      <w:r>
        <w:rPr>
          <w:spacing w:val="-2"/>
          <w:u w:val="none"/>
        </w:rPr>
        <w:t>framework.</w:t>
      </w:r>
    </w:p>
    <w:p>
      <w:pPr>
        <w:pStyle w:val="BodyText"/>
        <w:spacing w:before="40"/>
      </w:pPr>
    </w:p>
    <w:p>
      <w:pPr>
        <w:pStyle w:val="BodyText"/>
        <w:spacing w:line="278" w:lineRule="auto" w:before="1"/>
        <w:ind w:left="23" w:right="157"/>
        <w:jc w:val="both"/>
      </w:pPr>
      <w:r>
        <w:rPr/>
        <w:t>Copies</w:t>
      </w:r>
      <w:r>
        <w:rPr>
          <w:spacing w:val="-10"/>
        </w:rPr>
        <w:t> </w:t>
      </w:r>
      <w:r>
        <w:rPr/>
        <w:t>of</w:t>
      </w:r>
      <w:r>
        <w:rPr>
          <w:spacing w:val="-11"/>
        </w:rPr>
        <w:t> </w:t>
      </w:r>
      <w:r>
        <w:rPr/>
        <w:t>the</w:t>
      </w:r>
      <w:r>
        <w:rPr>
          <w:spacing w:val="-10"/>
        </w:rPr>
        <w:t> </w:t>
      </w:r>
      <w:r>
        <w:rPr/>
        <w:t>questionnaires</w:t>
      </w:r>
      <w:r>
        <w:rPr>
          <w:spacing w:val="-10"/>
        </w:rPr>
        <w:t> </w:t>
      </w:r>
      <w:r>
        <w:rPr/>
        <w:t>that</w:t>
      </w:r>
      <w:r>
        <w:rPr>
          <w:spacing w:val="-11"/>
        </w:rPr>
        <w:t> </w:t>
      </w:r>
      <w:r>
        <w:rPr/>
        <w:t>were</w:t>
      </w:r>
      <w:r>
        <w:rPr>
          <w:spacing w:val="-10"/>
        </w:rPr>
        <w:t> </w:t>
      </w:r>
      <w:r>
        <w:rPr/>
        <w:t>completed</w:t>
      </w:r>
      <w:r>
        <w:rPr>
          <w:spacing w:val="-11"/>
        </w:rPr>
        <w:t> </w:t>
      </w:r>
      <w:r>
        <w:rPr/>
        <w:t>with</w:t>
      </w:r>
      <w:r>
        <w:rPr>
          <w:spacing w:val="-11"/>
        </w:rPr>
        <w:t> </w:t>
      </w:r>
      <w:r>
        <w:rPr/>
        <w:t>customers</w:t>
      </w:r>
      <w:r>
        <w:rPr>
          <w:spacing w:val="-10"/>
        </w:rPr>
        <w:t> </w:t>
      </w:r>
      <w:r>
        <w:rPr/>
        <w:t>are</w:t>
      </w:r>
      <w:r>
        <w:rPr>
          <w:spacing w:val="-10"/>
        </w:rPr>
        <w:t> </w:t>
      </w:r>
      <w:r>
        <w:rPr/>
        <w:t>available</w:t>
      </w:r>
      <w:r>
        <w:rPr>
          <w:spacing w:val="-10"/>
        </w:rPr>
        <w:t> </w:t>
      </w:r>
      <w:r>
        <w:rPr/>
        <w:t>on our</w:t>
      </w:r>
      <w:r>
        <w:rPr>
          <w:spacing w:val="-14"/>
        </w:rPr>
        <w:t> </w:t>
      </w:r>
      <w:r>
        <w:rPr/>
        <w:t>website.</w:t>
      </w:r>
      <w:r>
        <w:rPr>
          <w:spacing w:val="-14"/>
        </w:rPr>
        <w:t> </w:t>
      </w:r>
      <w:r>
        <w:rPr/>
        <w:t>There</w:t>
      </w:r>
      <w:r>
        <w:rPr>
          <w:spacing w:val="-12"/>
        </w:rPr>
        <w:t> </w:t>
      </w:r>
      <w:r>
        <w:rPr/>
        <w:t>are</w:t>
      </w:r>
      <w:r>
        <w:rPr>
          <w:spacing w:val="-12"/>
        </w:rPr>
        <w:t> </w:t>
      </w:r>
      <w:r>
        <w:rPr/>
        <w:t>multiple</w:t>
      </w:r>
      <w:r>
        <w:rPr>
          <w:spacing w:val="-12"/>
        </w:rPr>
        <w:t> </w:t>
      </w:r>
      <w:r>
        <w:rPr/>
        <w:t>versions</w:t>
      </w:r>
      <w:r>
        <w:rPr>
          <w:spacing w:val="-13"/>
        </w:rPr>
        <w:t> </w:t>
      </w:r>
      <w:r>
        <w:rPr/>
        <w:t>because</w:t>
      </w:r>
      <w:r>
        <w:rPr>
          <w:spacing w:val="-12"/>
        </w:rPr>
        <w:t> </w:t>
      </w:r>
      <w:r>
        <w:rPr/>
        <w:t>we</w:t>
      </w:r>
      <w:r>
        <w:rPr>
          <w:spacing w:val="-13"/>
        </w:rPr>
        <w:t> </w:t>
      </w:r>
      <w:r>
        <w:rPr/>
        <w:t>are</w:t>
      </w:r>
      <w:r>
        <w:rPr>
          <w:spacing w:val="-15"/>
        </w:rPr>
        <w:t> </w:t>
      </w:r>
      <w:r>
        <w:rPr/>
        <w:t>keen</w:t>
      </w:r>
      <w:r>
        <w:rPr>
          <w:spacing w:val="-13"/>
        </w:rPr>
        <w:t> </w:t>
      </w:r>
      <w:r>
        <w:rPr/>
        <w:t>to</w:t>
      </w:r>
      <w:r>
        <w:rPr>
          <w:spacing w:val="-15"/>
        </w:rPr>
        <w:t> </w:t>
      </w:r>
      <w:r>
        <w:rPr/>
        <w:t>understand</w:t>
      </w:r>
      <w:r>
        <w:rPr>
          <w:spacing w:val="-14"/>
        </w:rPr>
        <w:t> </w:t>
      </w:r>
      <w:r>
        <w:rPr/>
        <w:t>more about the reasons behind customers’ responses to different questions. So, between April and September we asked for more information about what we can do to make a positive contribution to the neighbourhood; from October to March we</w:t>
      </w:r>
      <w:r>
        <w:rPr>
          <w:spacing w:val="-18"/>
        </w:rPr>
        <w:t> </w:t>
      </w:r>
      <w:r>
        <w:rPr/>
        <w:t>asked</w:t>
      </w:r>
      <w:r>
        <w:rPr>
          <w:spacing w:val="-17"/>
        </w:rPr>
        <w:t> </w:t>
      </w:r>
      <w:r>
        <w:rPr/>
        <w:t>about</w:t>
      </w:r>
      <w:r>
        <w:rPr>
          <w:spacing w:val="-17"/>
        </w:rPr>
        <w:t> </w:t>
      </w:r>
      <w:r>
        <w:rPr/>
        <w:t>how</w:t>
      </w:r>
      <w:r>
        <w:rPr>
          <w:spacing w:val="-20"/>
        </w:rPr>
        <w:t> </w:t>
      </w:r>
      <w:r>
        <w:rPr/>
        <w:t>we</w:t>
      </w:r>
      <w:r>
        <w:rPr>
          <w:spacing w:val="-17"/>
        </w:rPr>
        <w:t> </w:t>
      </w:r>
      <w:r>
        <w:rPr/>
        <w:t>can</w:t>
      </w:r>
      <w:r>
        <w:rPr>
          <w:spacing w:val="-17"/>
        </w:rPr>
        <w:t> </w:t>
      </w:r>
      <w:r>
        <w:rPr/>
        <w:t>best</w:t>
      </w:r>
      <w:r>
        <w:rPr>
          <w:spacing w:val="-17"/>
        </w:rPr>
        <w:t> </w:t>
      </w:r>
      <w:r>
        <w:rPr/>
        <w:t>keep</w:t>
      </w:r>
      <w:r>
        <w:rPr>
          <w:spacing w:val="-17"/>
        </w:rPr>
        <w:t> </w:t>
      </w:r>
      <w:r>
        <w:rPr/>
        <w:t>communal</w:t>
      </w:r>
      <w:r>
        <w:rPr>
          <w:spacing w:val="-17"/>
        </w:rPr>
        <w:t> </w:t>
      </w:r>
      <w:r>
        <w:rPr/>
        <w:t>areas</w:t>
      </w:r>
      <w:r>
        <w:rPr>
          <w:spacing w:val="-17"/>
        </w:rPr>
        <w:t> </w:t>
      </w:r>
      <w:r>
        <w:rPr/>
        <w:t>clean</w:t>
      </w:r>
      <w:r>
        <w:rPr>
          <w:spacing w:val="-17"/>
        </w:rPr>
        <w:t> </w:t>
      </w:r>
      <w:r>
        <w:rPr/>
        <w:t>and</w:t>
      </w:r>
      <w:r>
        <w:rPr>
          <w:spacing w:val="-18"/>
        </w:rPr>
        <w:t> </w:t>
      </w:r>
      <w:r>
        <w:rPr/>
        <w:t>well</w:t>
      </w:r>
      <w:r>
        <w:rPr>
          <w:spacing w:val="-17"/>
        </w:rPr>
        <w:t> </w:t>
      </w:r>
      <w:r>
        <w:rPr/>
        <w:t>maintained. Changing these probing questions during the year allows us to respond more quickly to customer feedback.</w:t>
      </w:r>
    </w:p>
    <w:p>
      <w:pPr>
        <w:pStyle w:val="BodyText"/>
        <w:spacing w:before="37"/>
      </w:pPr>
    </w:p>
    <w:p>
      <w:pPr>
        <w:pStyle w:val="Heading1"/>
        <w:numPr>
          <w:ilvl w:val="0"/>
          <w:numId w:val="1"/>
        </w:numPr>
        <w:tabs>
          <w:tab w:pos="381" w:val="left" w:leader="none"/>
        </w:tabs>
        <w:spacing w:line="240" w:lineRule="auto" w:before="0" w:after="0"/>
        <w:ind w:left="381" w:right="0" w:hanging="358"/>
        <w:jc w:val="left"/>
      </w:pPr>
      <w:r>
        <w:rPr/>
        <w:t>Summary</w:t>
      </w:r>
      <w:r>
        <w:rPr>
          <w:spacing w:val="-7"/>
        </w:rPr>
        <w:t> </w:t>
      </w:r>
      <w:r>
        <w:rPr/>
        <w:t>of</w:t>
      </w:r>
      <w:r>
        <w:rPr>
          <w:spacing w:val="-6"/>
        </w:rPr>
        <w:t> </w:t>
      </w:r>
      <w:r>
        <w:rPr/>
        <w:t>Achieved</w:t>
      </w:r>
      <w:r>
        <w:rPr>
          <w:spacing w:val="-7"/>
        </w:rPr>
        <w:t> </w:t>
      </w:r>
      <w:r>
        <w:rPr>
          <w:spacing w:val="-2"/>
        </w:rPr>
        <w:t>Sample</w:t>
      </w:r>
    </w:p>
    <w:p>
      <w:pPr>
        <w:pStyle w:val="BodyText"/>
        <w:spacing w:before="43"/>
        <w:ind w:left="23"/>
      </w:pPr>
      <w:r>
        <w:rPr/>
        <w:t>We</w:t>
      </w:r>
      <w:r>
        <w:rPr>
          <w:spacing w:val="-5"/>
        </w:rPr>
        <w:t> </w:t>
      </w:r>
      <w:r>
        <w:rPr/>
        <w:t>received</w:t>
      </w:r>
      <w:r>
        <w:rPr>
          <w:spacing w:val="-6"/>
        </w:rPr>
        <w:t> </w:t>
      </w:r>
      <w:r>
        <w:rPr/>
        <w:t>1068</w:t>
      </w:r>
      <w:r>
        <w:rPr>
          <w:spacing w:val="-6"/>
        </w:rPr>
        <w:t> </w:t>
      </w:r>
      <w:r>
        <w:rPr/>
        <w:t>responses</w:t>
      </w:r>
      <w:r>
        <w:rPr>
          <w:spacing w:val="-5"/>
        </w:rPr>
        <w:t> </w:t>
      </w:r>
      <w:r>
        <w:rPr/>
        <w:t>to</w:t>
      </w:r>
      <w:r>
        <w:rPr>
          <w:spacing w:val="-5"/>
        </w:rPr>
        <w:t> </w:t>
      </w:r>
      <w:r>
        <w:rPr/>
        <w:t>the</w:t>
      </w:r>
      <w:r>
        <w:rPr>
          <w:spacing w:val="-5"/>
        </w:rPr>
        <w:t> </w:t>
      </w:r>
      <w:r>
        <w:rPr>
          <w:spacing w:val="-2"/>
        </w:rPr>
        <w:t>survey.</w:t>
      </w:r>
    </w:p>
    <w:p>
      <w:pPr>
        <w:pStyle w:val="BodyText"/>
        <w:spacing w:before="84"/>
      </w:pPr>
    </w:p>
    <w:p>
      <w:pPr>
        <w:pStyle w:val="Heading1"/>
        <w:numPr>
          <w:ilvl w:val="0"/>
          <w:numId w:val="1"/>
        </w:numPr>
        <w:tabs>
          <w:tab w:pos="382" w:val="left" w:leader="none"/>
        </w:tabs>
        <w:spacing w:line="240" w:lineRule="auto" w:before="0" w:after="0"/>
        <w:ind w:left="382" w:right="0" w:hanging="359"/>
        <w:jc w:val="left"/>
      </w:pPr>
      <w:r>
        <w:rPr/>
        <w:t>Timing</w:t>
      </w:r>
      <w:r>
        <w:rPr>
          <w:spacing w:val="-6"/>
        </w:rPr>
        <w:t> </w:t>
      </w:r>
      <w:r>
        <w:rPr/>
        <w:t>of</w:t>
      </w:r>
      <w:r>
        <w:rPr>
          <w:spacing w:val="-4"/>
        </w:rPr>
        <w:t> </w:t>
      </w:r>
      <w:r>
        <w:rPr>
          <w:spacing w:val="-2"/>
        </w:rPr>
        <w:t>Survey</w:t>
      </w:r>
    </w:p>
    <w:p>
      <w:pPr>
        <w:pStyle w:val="BodyText"/>
        <w:spacing w:line="278" w:lineRule="auto" w:before="43"/>
        <w:ind w:left="23" w:right="157"/>
        <w:jc w:val="both"/>
      </w:pPr>
      <w:r>
        <w:rPr/>
        <w:t>We took a ‘phased’ approach, with customers contacted in four</w:t>
      </w:r>
      <w:r>
        <w:rPr>
          <w:spacing w:val="-3"/>
        </w:rPr>
        <w:t> </w:t>
      </w:r>
      <w:r>
        <w:rPr/>
        <w:t>principal waves – in May, August, November and January – plus a small postal campaign in March.</w:t>
      </w:r>
    </w:p>
    <w:p>
      <w:pPr>
        <w:pStyle w:val="BodyText"/>
        <w:spacing w:before="41"/>
      </w:pPr>
    </w:p>
    <w:p>
      <w:pPr>
        <w:pStyle w:val="Heading1"/>
        <w:numPr>
          <w:ilvl w:val="0"/>
          <w:numId w:val="1"/>
        </w:numPr>
        <w:tabs>
          <w:tab w:pos="382" w:val="left" w:leader="none"/>
        </w:tabs>
        <w:spacing w:line="240" w:lineRule="auto" w:before="0" w:after="0"/>
        <w:ind w:left="382" w:right="0" w:hanging="359"/>
        <w:jc w:val="both"/>
      </w:pPr>
      <w:r>
        <w:rPr/>
        <w:t>Collection</w:t>
      </w:r>
      <w:r>
        <w:rPr>
          <w:spacing w:val="-8"/>
        </w:rPr>
        <w:t> </w:t>
      </w:r>
      <w:r>
        <w:rPr/>
        <w:t>Method(s)</w:t>
      </w:r>
      <w:r>
        <w:rPr>
          <w:spacing w:val="-6"/>
        </w:rPr>
        <w:t> </w:t>
      </w:r>
      <w:r>
        <w:rPr/>
        <w:t>and</w:t>
      </w:r>
      <w:r>
        <w:rPr>
          <w:spacing w:val="-8"/>
        </w:rPr>
        <w:t> </w:t>
      </w:r>
      <w:r>
        <w:rPr>
          <w:spacing w:val="-2"/>
        </w:rPr>
        <w:t>Rationale</w:t>
      </w:r>
    </w:p>
    <w:p>
      <w:pPr>
        <w:pStyle w:val="BodyText"/>
        <w:spacing w:line="278" w:lineRule="auto" w:before="42"/>
        <w:ind w:left="23" w:right="159"/>
        <w:jc w:val="both"/>
      </w:pPr>
      <w:r>
        <w:rPr/>
        <w:t>We used a phone-first approach because it allows us to reach out to a wide customer base and correct any imbalance in responses by setting quotes for the telephone interviews.</w:t>
      </w:r>
      <w:r>
        <w:rPr>
          <w:spacing w:val="-3"/>
        </w:rPr>
        <w:t> </w:t>
      </w:r>
      <w:r>
        <w:rPr/>
        <w:t>However, this is supplemented by a web survey and postal mop-up survey to ensure nobody is excluded because they don’t have a phone number</w:t>
      </w:r>
      <w:r>
        <w:rPr>
          <w:spacing w:val="-2"/>
        </w:rPr>
        <w:t> </w:t>
      </w:r>
      <w:r>
        <w:rPr/>
        <w:t>or</w:t>
      </w:r>
      <w:r>
        <w:rPr>
          <w:spacing w:val="-2"/>
        </w:rPr>
        <w:t> </w:t>
      </w:r>
      <w:r>
        <w:rPr/>
        <w:t>email</w:t>
      </w:r>
      <w:r>
        <w:rPr>
          <w:spacing w:val="-1"/>
        </w:rPr>
        <w:t> </w:t>
      </w:r>
      <w:r>
        <w:rPr/>
        <w:t>address.</w:t>
      </w:r>
      <w:r>
        <w:rPr>
          <w:spacing w:val="-3"/>
        </w:rPr>
        <w:t> </w:t>
      </w:r>
      <w:r>
        <w:rPr/>
        <w:t>In</w:t>
      </w:r>
      <w:r>
        <w:rPr>
          <w:spacing w:val="-2"/>
        </w:rPr>
        <w:t> </w:t>
      </w:r>
      <w:r>
        <w:rPr/>
        <w:t>total,</w:t>
      </w:r>
      <w:r>
        <w:rPr>
          <w:spacing w:val="-1"/>
        </w:rPr>
        <w:t> </w:t>
      </w:r>
      <w:r>
        <w:rPr/>
        <w:t>1040</w:t>
      </w:r>
      <w:r>
        <w:rPr>
          <w:spacing w:val="-1"/>
        </w:rPr>
        <w:t> </w:t>
      </w:r>
      <w:r>
        <w:rPr/>
        <w:t>(97.38%)</w:t>
      </w:r>
      <w:r>
        <w:rPr>
          <w:spacing w:val="-1"/>
        </w:rPr>
        <w:t> </w:t>
      </w:r>
      <w:r>
        <w:rPr/>
        <w:t>of</w:t>
      </w:r>
      <w:r>
        <w:rPr>
          <w:spacing w:val="-1"/>
        </w:rPr>
        <w:t> </w:t>
      </w:r>
      <w:r>
        <w:rPr/>
        <w:t>surveys</w:t>
      </w:r>
      <w:r>
        <w:rPr>
          <w:spacing w:val="-2"/>
        </w:rPr>
        <w:t> </w:t>
      </w:r>
      <w:r>
        <w:rPr/>
        <w:t>were</w:t>
      </w:r>
      <w:r>
        <w:rPr>
          <w:spacing w:val="-1"/>
        </w:rPr>
        <w:t> </w:t>
      </w:r>
      <w:r>
        <w:rPr/>
        <w:t>completed</w:t>
      </w:r>
      <w:r>
        <w:rPr>
          <w:spacing w:val="-3"/>
        </w:rPr>
        <w:t> </w:t>
      </w:r>
      <w:r>
        <w:rPr/>
        <w:t>on the</w:t>
      </w:r>
      <w:r>
        <w:rPr>
          <w:spacing w:val="-16"/>
        </w:rPr>
        <w:t> </w:t>
      </w:r>
      <w:r>
        <w:rPr/>
        <w:t>telephone;</w:t>
      </w:r>
      <w:r>
        <w:rPr>
          <w:spacing w:val="-13"/>
        </w:rPr>
        <w:t> </w:t>
      </w:r>
      <w:r>
        <w:rPr/>
        <w:t>23</w:t>
      </w:r>
      <w:r>
        <w:rPr>
          <w:spacing w:val="-15"/>
        </w:rPr>
        <w:t> </w:t>
      </w:r>
      <w:r>
        <w:rPr/>
        <w:t>(2.15%)</w:t>
      </w:r>
      <w:r>
        <w:rPr>
          <w:spacing w:val="-14"/>
        </w:rPr>
        <w:t> </w:t>
      </w:r>
      <w:r>
        <w:rPr/>
        <w:t>by</w:t>
      </w:r>
      <w:r>
        <w:rPr>
          <w:spacing w:val="-15"/>
        </w:rPr>
        <w:t> </w:t>
      </w:r>
      <w:r>
        <w:rPr/>
        <w:t>post;</w:t>
      </w:r>
      <w:r>
        <w:rPr>
          <w:spacing w:val="-13"/>
        </w:rPr>
        <w:t> </w:t>
      </w:r>
      <w:r>
        <w:rPr/>
        <w:t>the</w:t>
      </w:r>
      <w:r>
        <w:rPr>
          <w:spacing w:val="-14"/>
        </w:rPr>
        <w:t> </w:t>
      </w:r>
      <w:r>
        <w:rPr/>
        <w:t>5</w:t>
      </w:r>
      <w:r>
        <w:rPr>
          <w:spacing w:val="-15"/>
        </w:rPr>
        <w:t> </w:t>
      </w:r>
      <w:r>
        <w:rPr/>
        <w:t>remaining</w:t>
      </w:r>
      <w:r>
        <w:rPr>
          <w:spacing w:val="-14"/>
        </w:rPr>
        <w:t> </w:t>
      </w:r>
      <w:r>
        <w:rPr/>
        <w:t>(0.47%)</w:t>
      </w:r>
      <w:r>
        <w:rPr>
          <w:spacing w:val="-14"/>
        </w:rPr>
        <w:t> </w:t>
      </w:r>
      <w:r>
        <w:rPr/>
        <w:t>were</w:t>
      </w:r>
      <w:r>
        <w:rPr>
          <w:spacing w:val="-13"/>
        </w:rPr>
        <w:t> </w:t>
      </w:r>
      <w:r>
        <w:rPr/>
        <w:t>filled</w:t>
      </w:r>
      <w:r>
        <w:rPr>
          <w:spacing w:val="-14"/>
        </w:rPr>
        <w:t> </w:t>
      </w:r>
      <w:r>
        <w:rPr/>
        <w:t>in</w:t>
      </w:r>
      <w:r>
        <w:rPr>
          <w:spacing w:val="-14"/>
        </w:rPr>
        <w:t> </w:t>
      </w:r>
      <w:r>
        <w:rPr>
          <w:spacing w:val="-2"/>
        </w:rPr>
        <w:t>online.</w:t>
      </w:r>
    </w:p>
    <w:p>
      <w:pPr>
        <w:pStyle w:val="BodyText"/>
        <w:spacing w:before="42"/>
      </w:pPr>
    </w:p>
    <w:p>
      <w:pPr>
        <w:pStyle w:val="Heading1"/>
        <w:numPr>
          <w:ilvl w:val="0"/>
          <w:numId w:val="1"/>
        </w:numPr>
        <w:tabs>
          <w:tab w:pos="382" w:val="left" w:leader="none"/>
        </w:tabs>
        <w:spacing w:line="240" w:lineRule="auto" w:before="0" w:after="0"/>
        <w:ind w:left="382" w:right="0" w:hanging="359"/>
        <w:jc w:val="both"/>
      </w:pPr>
      <w:r>
        <w:rPr/>
        <w:t>Sample</w:t>
      </w:r>
      <w:r>
        <w:rPr>
          <w:spacing w:val="-9"/>
        </w:rPr>
        <w:t> </w:t>
      </w:r>
      <w:r>
        <w:rPr>
          <w:spacing w:val="-2"/>
        </w:rPr>
        <w:t>Method</w:t>
      </w:r>
    </w:p>
    <w:p>
      <w:pPr>
        <w:pStyle w:val="BodyText"/>
        <w:spacing w:line="278" w:lineRule="auto" w:before="42"/>
        <w:ind w:left="23" w:right="158"/>
        <w:jc w:val="both"/>
      </w:pPr>
      <w:r>
        <w:rPr/>
        <w:t>We</w:t>
      </w:r>
      <w:r>
        <w:rPr>
          <w:spacing w:val="-6"/>
        </w:rPr>
        <w:t> </w:t>
      </w:r>
      <w:r>
        <w:rPr/>
        <w:t>provided</w:t>
      </w:r>
      <w:r>
        <w:rPr>
          <w:spacing w:val="-7"/>
        </w:rPr>
        <w:t> </w:t>
      </w:r>
      <w:r>
        <w:rPr/>
        <w:t>a</w:t>
      </w:r>
      <w:r>
        <w:rPr>
          <w:spacing w:val="-7"/>
        </w:rPr>
        <w:t> </w:t>
      </w:r>
      <w:r>
        <w:rPr/>
        <w:t>database</w:t>
      </w:r>
      <w:r>
        <w:rPr>
          <w:spacing w:val="-6"/>
        </w:rPr>
        <w:t> </w:t>
      </w:r>
      <w:r>
        <w:rPr/>
        <w:t>of</w:t>
      </w:r>
      <w:r>
        <w:rPr>
          <w:spacing w:val="-7"/>
        </w:rPr>
        <w:t> </w:t>
      </w:r>
      <w:r>
        <w:rPr/>
        <w:t>our</w:t>
      </w:r>
      <w:r>
        <w:rPr>
          <w:spacing w:val="-7"/>
        </w:rPr>
        <w:t> </w:t>
      </w:r>
      <w:r>
        <w:rPr/>
        <w:t>Low</w:t>
      </w:r>
      <w:r>
        <w:rPr>
          <w:spacing w:val="-7"/>
        </w:rPr>
        <w:t> </w:t>
      </w:r>
      <w:r>
        <w:rPr/>
        <w:t>Cost</w:t>
      </w:r>
      <w:r>
        <w:rPr>
          <w:spacing w:val="-7"/>
        </w:rPr>
        <w:t> </w:t>
      </w:r>
      <w:r>
        <w:rPr/>
        <w:t>Rental</w:t>
      </w:r>
      <w:r>
        <w:rPr>
          <w:spacing w:val="-7"/>
        </w:rPr>
        <w:t> </w:t>
      </w:r>
      <w:r>
        <w:rPr/>
        <w:t>Accommodation</w:t>
      </w:r>
      <w:r>
        <w:rPr>
          <w:spacing w:val="-7"/>
        </w:rPr>
        <w:t> </w:t>
      </w:r>
      <w:r>
        <w:rPr/>
        <w:t>customers</w:t>
      </w:r>
      <w:r>
        <w:rPr>
          <w:spacing w:val="-7"/>
        </w:rPr>
        <w:t> </w:t>
      </w:r>
      <w:r>
        <w:rPr/>
        <w:t>to</w:t>
      </w:r>
      <w:r>
        <w:rPr>
          <w:spacing w:val="-7"/>
        </w:rPr>
        <w:t> </w:t>
      </w:r>
      <w:r>
        <w:rPr/>
        <w:t>our contractor,</w:t>
      </w:r>
      <w:r>
        <w:rPr>
          <w:spacing w:val="-14"/>
        </w:rPr>
        <w:t> </w:t>
      </w:r>
      <w:r>
        <w:rPr/>
        <w:t>TLF</w:t>
      </w:r>
      <w:r>
        <w:rPr>
          <w:spacing w:val="-13"/>
        </w:rPr>
        <w:t> </w:t>
      </w:r>
      <w:r>
        <w:rPr/>
        <w:t>Research,</w:t>
      </w:r>
      <w:r>
        <w:rPr>
          <w:spacing w:val="-14"/>
        </w:rPr>
        <w:t> </w:t>
      </w:r>
      <w:r>
        <w:rPr/>
        <w:t>before</w:t>
      </w:r>
      <w:r>
        <w:rPr>
          <w:spacing w:val="-12"/>
        </w:rPr>
        <w:t> </w:t>
      </w:r>
      <w:r>
        <w:rPr/>
        <w:t>each</w:t>
      </w:r>
      <w:r>
        <w:rPr>
          <w:spacing w:val="-13"/>
        </w:rPr>
        <w:t> </w:t>
      </w:r>
      <w:r>
        <w:rPr/>
        <w:t>wave</w:t>
      </w:r>
      <w:r>
        <w:rPr>
          <w:spacing w:val="-15"/>
        </w:rPr>
        <w:t> </w:t>
      </w:r>
      <w:r>
        <w:rPr/>
        <w:t>of</w:t>
      </w:r>
      <w:r>
        <w:rPr>
          <w:spacing w:val="-13"/>
        </w:rPr>
        <w:t> </w:t>
      </w:r>
      <w:r>
        <w:rPr/>
        <w:t>research</w:t>
      </w:r>
      <w:r>
        <w:rPr>
          <w:spacing w:val="-13"/>
        </w:rPr>
        <w:t> </w:t>
      </w:r>
      <w:r>
        <w:rPr/>
        <w:t>began.</w:t>
      </w:r>
      <w:r>
        <w:rPr>
          <w:spacing w:val="-15"/>
        </w:rPr>
        <w:t> </w:t>
      </w:r>
      <w:r>
        <w:rPr/>
        <w:t>TLF</w:t>
      </w:r>
      <w:r>
        <w:rPr>
          <w:spacing w:val="-11"/>
        </w:rPr>
        <w:t> </w:t>
      </w:r>
      <w:r>
        <w:rPr/>
        <w:t>Research</w:t>
      </w:r>
      <w:r>
        <w:rPr>
          <w:spacing w:val="-13"/>
        </w:rPr>
        <w:t> </w:t>
      </w:r>
      <w:r>
        <w:rPr/>
        <w:t>then used</w:t>
      </w:r>
      <w:r>
        <w:rPr>
          <w:spacing w:val="-11"/>
        </w:rPr>
        <w:t> </w:t>
      </w:r>
      <w:r>
        <w:rPr/>
        <w:t>a</w:t>
      </w:r>
      <w:r>
        <w:rPr>
          <w:spacing w:val="-11"/>
        </w:rPr>
        <w:t> </w:t>
      </w:r>
      <w:r>
        <w:rPr/>
        <w:t>stratified</w:t>
      </w:r>
      <w:r>
        <w:rPr>
          <w:spacing w:val="-11"/>
        </w:rPr>
        <w:t> </w:t>
      </w:r>
      <w:r>
        <w:rPr/>
        <w:t>random</w:t>
      </w:r>
      <w:r>
        <w:rPr>
          <w:spacing w:val="-11"/>
        </w:rPr>
        <w:t> </w:t>
      </w:r>
      <w:r>
        <w:rPr/>
        <w:t>sampling</w:t>
      </w:r>
      <w:r>
        <w:rPr>
          <w:spacing w:val="-11"/>
        </w:rPr>
        <w:t> </w:t>
      </w:r>
      <w:r>
        <w:rPr/>
        <w:t>approach,</w:t>
      </w:r>
      <w:r>
        <w:rPr>
          <w:spacing w:val="-11"/>
        </w:rPr>
        <w:t> </w:t>
      </w:r>
      <w:r>
        <w:rPr/>
        <w:t>meaning</w:t>
      </w:r>
      <w:r>
        <w:rPr>
          <w:spacing w:val="-12"/>
        </w:rPr>
        <w:t> </w:t>
      </w:r>
      <w:r>
        <w:rPr/>
        <w:t>that</w:t>
      </w:r>
      <w:r>
        <w:rPr>
          <w:spacing w:val="-11"/>
        </w:rPr>
        <w:t> </w:t>
      </w:r>
      <w:r>
        <w:rPr/>
        <w:t>all</w:t>
      </w:r>
      <w:r>
        <w:rPr>
          <w:spacing w:val="-11"/>
        </w:rPr>
        <w:t> </w:t>
      </w:r>
      <w:r>
        <w:rPr/>
        <w:t>contacts</w:t>
      </w:r>
      <w:r>
        <w:rPr>
          <w:spacing w:val="-11"/>
        </w:rPr>
        <w:t> </w:t>
      </w:r>
      <w:r>
        <w:rPr/>
        <w:t>supplied</w:t>
      </w:r>
      <w:r>
        <w:rPr>
          <w:spacing w:val="-11"/>
        </w:rPr>
        <w:t> </w:t>
      </w:r>
      <w:r>
        <w:rPr/>
        <w:t>in the database are given the opportunity to be selected to take part in the TSM </w:t>
      </w:r>
      <w:r>
        <w:rPr>
          <w:spacing w:val="-2"/>
        </w:rPr>
        <w:t>survey.</w:t>
      </w:r>
    </w:p>
    <w:p>
      <w:pPr>
        <w:pStyle w:val="BodyText"/>
        <w:spacing w:after="0" w:line="278" w:lineRule="auto"/>
        <w:jc w:val="both"/>
        <w:sectPr>
          <w:type w:val="continuous"/>
          <w:pgSz w:w="11910" w:h="16840"/>
          <w:pgMar w:top="1340" w:bottom="280" w:left="1417" w:right="1275"/>
        </w:sectPr>
      </w:pPr>
    </w:p>
    <w:p>
      <w:pPr>
        <w:pStyle w:val="Heading1"/>
        <w:numPr>
          <w:ilvl w:val="0"/>
          <w:numId w:val="1"/>
        </w:numPr>
        <w:tabs>
          <w:tab w:pos="381" w:val="left" w:leader="none"/>
        </w:tabs>
        <w:spacing w:line="240" w:lineRule="auto" w:before="81" w:after="0"/>
        <w:ind w:left="381" w:right="0" w:hanging="358"/>
        <w:jc w:val="both"/>
      </w:pPr>
      <w:r>
        <w:rPr>
          <w:spacing w:val="-2"/>
        </w:rPr>
        <w:t>Representativeness</w:t>
      </w:r>
      <w:r>
        <w:rPr>
          <w:spacing w:val="16"/>
        </w:rPr>
        <w:t> </w:t>
      </w:r>
      <w:r>
        <w:rPr>
          <w:spacing w:val="-2"/>
        </w:rPr>
        <w:t>Assessment</w:t>
      </w:r>
    </w:p>
    <w:p>
      <w:pPr>
        <w:pStyle w:val="BodyText"/>
        <w:spacing w:line="278" w:lineRule="auto" w:before="43"/>
        <w:ind w:left="23" w:right="158"/>
        <w:jc w:val="both"/>
      </w:pPr>
      <w:r>
        <w:rPr/>
        <w:t>Using</w:t>
      </w:r>
      <w:r>
        <w:rPr>
          <w:spacing w:val="-20"/>
        </w:rPr>
        <w:t> </w:t>
      </w:r>
      <w:r>
        <w:rPr/>
        <w:t>the</w:t>
      </w:r>
      <w:r>
        <w:rPr>
          <w:spacing w:val="-19"/>
        </w:rPr>
        <w:t> </w:t>
      </w:r>
      <w:r>
        <w:rPr/>
        <w:t>database</w:t>
      </w:r>
      <w:r>
        <w:rPr>
          <w:spacing w:val="-19"/>
        </w:rPr>
        <w:t> </w:t>
      </w:r>
      <w:r>
        <w:rPr/>
        <w:t>we</w:t>
      </w:r>
      <w:r>
        <w:rPr>
          <w:spacing w:val="-18"/>
        </w:rPr>
        <w:t> </w:t>
      </w:r>
      <w:r>
        <w:rPr/>
        <w:t>provided,</w:t>
      </w:r>
      <w:r>
        <w:rPr>
          <w:spacing w:val="-19"/>
        </w:rPr>
        <w:t> </w:t>
      </w:r>
      <w:r>
        <w:rPr/>
        <w:t>TLF</w:t>
      </w:r>
      <w:r>
        <w:rPr>
          <w:spacing w:val="-20"/>
        </w:rPr>
        <w:t> </w:t>
      </w:r>
      <w:r>
        <w:rPr/>
        <w:t>Research</w:t>
      </w:r>
      <w:r>
        <w:rPr>
          <w:spacing w:val="-19"/>
        </w:rPr>
        <w:t> </w:t>
      </w:r>
      <w:r>
        <w:rPr/>
        <w:t>set</w:t>
      </w:r>
      <w:r>
        <w:rPr>
          <w:spacing w:val="-19"/>
        </w:rPr>
        <w:t> </w:t>
      </w:r>
      <w:r>
        <w:rPr/>
        <w:t>quotas</w:t>
      </w:r>
      <w:r>
        <w:rPr>
          <w:spacing w:val="-20"/>
        </w:rPr>
        <w:t> </w:t>
      </w:r>
      <w:r>
        <w:rPr/>
        <w:t>by</w:t>
      </w:r>
      <w:r>
        <w:rPr>
          <w:spacing w:val="-18"/>
        </w:rPr>
        <w:t> </w:t>
      </w:r>
      <w:r>
        <w:rPr/>
        <w:t>age</w:t>
      </w:r>
      <w:r>
        <w:rPr>
          <w:spacing w:val="-15"/>
        </w:rPr>
        <w:t> </w:t>
      </w:r>
      <w:r>
        <w:rPr/>
        <w:t>group</w:t>
      </w:r>
      <w:r>
        <w:rPr>
          <w:spacing w:val="-20"/>
        </w:rPr>
        <w:t> </w:t>
      </w:r>
      <w:r>
        <w:rPr/>
        <w:t>and</w:t>
      </w:r>
      <w:r>
        <w:rPr>
          <w:spacing w:val="-18"/>
        </w:rPr>
        <w:t> </w:t>
      </w:r>
      <w:r>
        <w:rPr/>
        <w:t>tenure type, as these are the categories identified by the Regulator of Social Housing to have the biggest influence on satisfaction scores. Sampling is also monitored by local</w:t>
      </w:r>
      <w:r>
        <w:rPr>
          <w:spacing w:val="-19"/>
        </w:rPr>
        <w:t> </w:t>
      </w:r>
      <w:r>
        <w:rPr/>
        <w:t>authority,</w:t>
      </w:r>
      <w:r>
        <w:rPr>
          <w:spacing w:val="-19"/>
        </w:rPr>
        <w:t> </w:t>
      </w:r>
      <w:r>
        <w:rPr/>
        <w:t>property</w:t>
      </w:r>
      <w:r>
        <w:rPr>
          <w:spacing w:val="-19"/>
        </w:rPr>
        <w:t> </w:t>
      </w:r>
      <w:r>
        <w:rPr/>
        <w:t>type</w:t>
      </w:r>
      <w:r>
        <w:rPr>
          <w:spacing w:val="-17"/>
        </w:rPr>
        <w:t> </w:t>
      </w:r>
      <w:r>
        <w:rPr/>
        <w:t>and</w:t>
      </w:r>
      <w:r>
        <w:rPr>
          <w:spacing w:val="-19"/>
        </w:rPr>
        <w:t> </w:t>
      </w:r>
      <w:r>
        <w:rPr/>
        <w:t>ethnicity,</w:t>
      </w:r>
      <w:r>
        <w:rPr>
          <w:spacing w:val="-20"/>
        </w:rPr>
        <w:t> </w:t>
      </w:r>
      <w:r>
        <w:rPr/>
        <w:t>to</w:t>
      </w:r>
      <w:r>
        <w:rPr>
          <w:spacing w:val="-17"/>
        </w:rPr>
        <w:t> </w:t>
      </w:r>
      <w:r>
        <w:rPr/>
        <w:t>ensure</w:t>
      </w:r>
      <w:r>
        <w:rPr>
          <w:spacing w:val="-17"/>
        </w:rPr>
        <w:t> </w:t>
      </w:r>
      <w:r>
        <w:rPr/>
        <w:t>the</w:t>
      </w:r>
      <w:r>
        <w:rPr>
          <w:spacing w:val="-17"/>
        </w:rPr>
        <w:t> </w:t>
      </w:r>
      <w:r>
        <w:rPr/>
        <w:t>sample</w:t>
      </w:r>
      <w:r>
        <w:rPr>
          <w:spacing w:val="-17"/>
        </w:rPr>
        <w:t> </w:t>
      </w:r>
      <w:r>
        <w:rPr/>
        <w:t>is</w:t>
      </w:r>
      <w:r>
        <w:rPr>
          <w:spacing w:val="-17"/>
        </w:rPr>
        <w:t> </w:t>
      </w:r>
      <w:r>
        <w:rPr/>
        <w:t>representative of the overall tenant population.</w:t>
      </w:r>
    </w:p>
    <w:p>
      <w:pPr>
        <w:pStyle w:val="BodyText"/>
        <w:spacing w:before="39"/>
      </w:pPr>
    </w:p>
    <w:p>
      <w:pPr>
        <w:pStyle w:val="BodyText"/>
        <w:spacing w:line="278" w:lineRule="auto"/>
        <w:ind w:left="23" w:right="157"/>
        <w:jc w:val="both"/>
      </w:pPr>
      <w:r>
        <w:rPr/>
        <w:t>With</w:t>
      </w:r>
      <w:r>
        <w:rPr>
          <w:spacing w:val="-3"/>
        </w:rPr>
        <w:t> </w:t>
      </w:r>
      <w:r>
        <w:rPr/>
        <w:t>11,875</w:t>
      </w:r>
      <w:r>
        <w:rPr>
          <w:spacing w:val="-3"/>
        </w:rPr>
        <w:t> </w:t>
      </w:r>
      <w:r>
        <w:rPr/>
        <w:t>customers</w:t>
      </w:r>
      <w:r>
        <w:rPr>
          <w:spacing w:val="-2"/>
        </w:rPr>
        <w:t> </w:t>
      </w:r>
      <w:r>
        <w:rPr/>
        <w:t>in</w:t>
      </w:r>
      <w:r>
        <w:rPr>
          <w:spacing w:val="-2"/>
        </w:rPr>
        <w:t> </w:t>
      </w:r>
      <w:r>
        <w:rPr/>
        <w:t>the</w:t>
      </w:r>
      <w:r>
        <w:rPr>
          <w:spacing w:val="-1"/>
        </w:rPr>
        <w:t> </w:t>
      </w:r>
      <w:r>
        <w:rPr/>
        <w:t>survey</w:t>
      </w:r>
      <w:r>
        <w:rPr>
          <w:spacing w:val="-2"/>
        </w:rPr>
        <w:t> </w:t>
      </w:r>
      <w:r>
        <w:rPr/>
        <w:t>‘population’</w:t>
      </w:r>
      <w:r>
        <w:rPr>
          <w:spacing w:val="-1"/>
        </w:rPr>
        <w:t> </w:t>
      </w:r>
      <w:r>
        <w:rPr/>
        <w:t>we</w:t>
      </w:r>
      <w:r>
        <w:rPr>
          <w:spacing w:val="-2"/>
        </w:rPr>
        <w:t> </w:t>
      </w:r>
      <w:r>
        <w:rPr/>
        <w:t>had</w:t>
      </w:r>
      <w:r>
        <w:rPr>
          <w:spacing w:val="-2"/>
        </w:rPr>
        <w:t> </w:t>
      </w:r>
      <w:r>
        <w:rPr/>
        <w:t>to</w:t>
      </w:r>
      <w:r>
        <w:rPr>
          <w:spacing w:val="-4"/>
        </w:rPr>
        <w:t> </w:t>
      </w:r>
      <w:r>
        <w:rPr/>
        <w:t>achieve</w:t>
      </w:r>
      <w:r>
        <w:rPr>
          <w:spacing w:val="-4"/>
        </w:rPr>
        <w:t> </w:t>
      </w:r>
      <w:r>
        <w:rPr/>
        <w:t>a</w:t>
      </w:r>
      <w:r>
        <w:rPr>
          <w:spacing w:val="-2"/>
        </w:rPr>
        <w:t> </w:t>
      </w:r>
      <w:r>
        <w:rPr/>
        <w:t>confidence level of at least +/- 3%. Reliability was achieved. Using the average satisfaction score</w:t>
      </w:r>
      <w:r>
        <w:rPr>
          <w:spacing w:val="-11"/>
        </w:rPr>
        <w:t> </w:t>
      </w:r>
      <w:r>
        <w:rPr/>
        <w:t>and</w:t>
      </w:r>
      <w:r>
        <w:rPr>
          <w:spacing w:val="-10"/>
        </w:rPr>
        <w:t> </w:t>
      </w:r>
      <w:r>
        <w:rPr/>
        <w:t>sample</w:t>
      </w:r>
      <w:r>
        <w:rPr>
          <w:spacing w:val="-8"/>
        </w:rPr>
        <w:t> </w:t>
      </w:r>
      <w:r>
        <w:rPr/>
        <w:t>size,</w:t>
      </w:r>
      <w:r>
        <w:rPr>
          <w:spacing w:val="-10"/>
        </w:rPr>
        <w:t> </w:t>
      </w:r>
      <w:r>
        <w:rPr/>
        <w:t>we</w:t>
      </w:r>
      <w:r>
        <w:rPr>
          <w:spacing w:val="-9"/>
        </w:rPr>
        <w:t> </w:t>
      </w:r>
      <w:r>
        <w:rPr/>
        <w:t>are</w:t>
      </w:r>
      <w:r>
        <w:rPr>
          <w:spacing w:val="-8"/>
        </w:rPr>
        <w:t> </w:t>
      </w:r>
      <w:r>
        <w:rPr/>
        <w:t>95%</w:t>
      </w:r>
      <w:r>
        <w:rPr>
          <w:spacing w:val="-9"/>
        </w:rPr>
        <w:t> </w:t>
      </w:r>
      <w:r>
        <w:rPr/>
        <w:t>confident</w:t>
      </w:r>
      <w:r>
        <w:rPr>
          <w:spacing w:val="-10"/>
        </w:rPr>
        <w:t> </w:t>
      </w:r>
      <w:r>
        <w:rPr/>
        <w:t>that</w:t>
      </w:r>
      <w:r>
        <w:rPr>
          <w:spacing w:val="-10"/>
        </w:rPr>
        <w:t> </w:t>
      </w:r>
      <w:r>
        <w:rPr/>
        <w:t>the</w:t>
      </w:r>
      <w:r>
        <w:rPr>
          <w:spacing w:val="-8"/>
        </w:rPr>
        <w:t> </w:t>
      </w:r>
      <w:r>
        <w:rPr/>
        <w:t>overall</w:t>
      </w:r>
      <w:r>
        <w:rPr>
          <w:spacing w:val="-9"/>
        </w:rPr>
        <w:t> </w:t>
      </w:r>
      <w:r>
        <w:rPr/>
        <w:t>%</w:t>
      </w:r>
      <w:r>
        <w:rPr>
          <w:spacing w:val="-10"/>
        </w:rPr>
        <w:t> </w:t>
      </w:r>
      <w:r>
        <w:rPr/>
        <w:t>satisfied</w:t>
      </w:r>
      <w:r>
        <w:rPr>
          <w:spacing w:val="-9"/>
        </w:rPr>
        <w:t> </w:t>
      </w:r>
      <w:r>
        <w:rPr/>
        <w:t>is</w:t>
      </w:r>
      <w:r>
        <w:rPr>
          <w:spacing w:val="-9"/>
        </w:rPr>
        <w:t> </w:t>
      </w:r>
      <w:r>
        <w:rPr>
          <w:spacing w:val="-2"/>
        </w:rPr>
        <w:t>within</w:t>
      </w:r>
    </w:p>
    <w:p>
      <w:pPr>
        <w:pStyle w:val="BodyText"/>
        <w:spacing w:line="266" w:lineRule="exact"/>
        <w:ind w:left="23"/>
      </w:pPr>
      <w:r>
        <w:rPr>
          <w:spacing w:val="-2"/>
        </w:rPr>
        <w:t>+/-2.6%.</w:t>
      </w:r>
    </w:p>
    <w:p>
      <w:pPr>
        <w:pStyle w:val="BodyText"/>
        <w:spacing w:before="87"/>
      </w:pPr>
    </w:p>
    <w:p>
      <w:pPr>
        <w:pStyle w:val="BodyText"/>
        <w:spacing w:line="278" w:lineRule="auto"/>
        <w:ind w:left="23" w:right="159"/>
        <w:jc w:val="both"/>
      </w:pPr>
      <w:r>
        <w:rPr/>
        <w:t>A</w:t>
      </w:r>
      <w:r>
        <w:rPr>
          <w:spacing w:val="-10"/>
        </w:rPr>
        <w:t> </w:t>
      </w:r>
      <w:r>
        <w:rPr/>
        <w:t>full</w:t>
      </w:r>
      <w:r>
        <w:rPr>
          <w:spacing w:val="-11"/>
        </w:rPr>
        <w:t> </w:t>
      </w:r>
      <w:r>
        <w:rPr/>
        <w:t>version</w:t>
      </w:r>
      <w:r>
        <w:rPr>
          <w:spacing w:val="-10"/>
        </w:rPr>
        <w:t> </w:t>
      </w:r>
      <w:r>
        <w:rPr/>
        <w:t>of</w:t>
      </w:r>
      <w:r>
        <w:rPr>
          <w:spacing w:val="-10"/>
        </w:rPr>
        <w:t> </w:t>
      </w:r>
      <w:r>
        <w:rPr/>
        <w:t>TLF’s</w:t>
      </w:r>
      <w:r>
        <w:rPr>
          <w:spacing w:val="-10"/>
        </w:rPr>
        <w:t> </w:t>
      </w:r>
      <w:r>
        <w:rPr/>
        <w:t>Statement</w:t>
      </w:r>
      <w:r>
        <w:rPr>
          <w:spacing w:val="-11"/>
        </w:rPr>
        <w:t> </w:t>
      </w:r>
      <w:r>
        <w:rPr/>
        <w:t>of</w:t>
      </w:r>
      <w:r>
        <w:rPr>
          <w:spacing w:val="-10"/>
        </w:rPr>
        <w:t> </w:t>
      </w:r>
      <w:r>
        <w:rPr/>
        <w:t>Research</w:t>
      </w:r>
      <w:r>
        <w:rPr>
          <w:spacing w:val="-10"/>
        </w:rPr>
        <w:t> </w:t>
      </w:r>
      <w:r>
        <w:rPr/>
        <w:t>Reliability</w:t>
      </w:r>
      <w:r>
        <w:rPr>
          <w:spacing w:val="-11"/>
        </w:rPr>
        <w:t> </w:t>
      </w:r>
      <w:r>
        <w:rPr/>
        <w:t>and</w:t>
      </w:r>
      <w:r>
        <w:rPr>
          <w:spacing w:val="-11"/>
        </w:rPr>
        <w:t> </w:t>
      </w:r>
      <w:r>
        <w:rPr/>
        <w:t>Representativeness</w:t>
      </w:r>
      <w:r>
        <w:rPr>
          <w:spacing w:val="-9"/>
        </w:rPr>
        <w:t> </w:t>
      </w:r>
      <w:r>
        <w:rPr/>
        <w:t>is available in Appendix A.</w:t>
      </w:r>
    </w:p>
    <w:p>
      <w:pPr>
        <w:pStyle w:val="BodyText"/>
        <w:spacing w:before="41"/>
      </w:pPr>
    </w:p>
    <w:p>
      <w:pPr>
        <w:pStyle w:val="Heading1"/>
        <w:numPr>
          <w:ilvl w:val="0"/>
          <w:numId w:val="1"/>
        </w:numPr>
        <w:tabs>
          <w:tab w:pos="382" w:val="left" w:leader="none"/>
        </w:tabs>
        <w:spacing w:line="240" w:lineRule="auto" w:before="1" w:after="0"/>
        <w:ind w:left="382" w:right="0" w:hanging="359"/>
        <w:jc w:val="both"/>
      </w:pPr>
      <w:r>
        <w:rPr>
          <w:spacing w:val="-2"/>
        </w:rPr>
        <w:t>Weighting</w:t>
      </w:r>
    </w:p>
    <w:p>
      <w:pPr>
        <w:pStyle w:val="BodyText"/>
        <w:spacing w:before="42"/>
        <w:ind w:left="23"/>
      </w:pPr>
      <w:r>
        <w:rPr/>
        <w:t>No</w:t>
      </w:r>
      <w:r>
        <w:rPr>
          <w:spacing w:val="-6"/>
        </w:rPr>
        <w:t> </w:t>
      </w:r>
      <w:r>
        <w:rPr/>
        <w:t>weighting</w:t>
      </w:r>
      <w:r>
        <w:rPr>
          <w:spacing w:val="-5"/>
        </w:rPr>
        <w:t> </w:t>
      </w:r>
      <w:r>
        <w:rPr/>
        <w:t>was</w:t>
      </w:r>
      <w:r>
        <w:rPr>
          <w:spacing w:val="-5"/>
        </w:rPr>
        <w:t> </w:t>
      </w:r>
      <w:r>
        <w:rPr/>
        <w:t>required</w:t>
      </w:r>
      <w:r>
        <w:rPr>
          <w:spacing w:val="-4"/>
        </w:rPr>
        <w:t> </w:t>
      </w:r>
      <w:r>
        <w:rPr/>
        <w:t>as</w:t>
      </w:r>
      <w:r>
        <w:rPr>
          <w:spacing w:val="-5"/>
        </w:rPr>
        <w:t> </w:t>
      </w:r>
      <w:r>
        <w:rPr/>
        <w:t>we</w:t>
      </w:r>
      <w:r>
        <w:rPr>
          <w:spacing w:val="-4"/>
        </w:rPr>
        <w:t> </w:t>
      </w:r>
      <w:r>
        <w:rPr/>
        <w:t>achieved</w:t>
      </w:r>
      <w:r>
        <w:rPr>
          <w:spacing w:val="-8"/>
        </w:rPr>
        <w:t> </w:t>
      </w:r>
      <w:r>
        <w:rPr/>
        <w:t>a</w:t>
      </w:r>
      <w:r>
        <w:rPr>
          <w:spacing w:val="-5"/>
        </w:rPr>
        <w:t> </w:t>
      </w:r>
      <w:r>
        <w:rPr/>
        <w:t>representative</w:t>
      </w:r>
      <w:r>
        <w:rPr>
          <w:spacing w:val="-3"/>
        </w:rPr>
        <w:t> </w:t>
      </w:r>
      <w:r>
        <w:rPr>
          <w:spacing w:val="-2"/>
        </w:rPr>
        <w:t>sample.</w:t>
      </w:r>
    </w:p>
    <w:p>
      <w:pPr>
        <w:pStyle w:val="BodyText"/>
        <w:spacing w:before="84"/>
      </w:pPr>
    </w:p>
    <w:p>
      <w:pPr>
        <w:pStyle w:val="Heading1"/>
        <w:numPr>
          <w:ilvl w:val="0"/>
          <w:numId w:val="1"/>
        </w:numPr>
        <w:tabs>
          <w:tab w:pos="382" w:val="left" w:leader="none"/>
        </w:tabs>
        <w:spacing w:line="240" w:lineRule="auto" w:before="0" w:after="0"/>
        <w:ind w:left="382" w:right="0" w:hanging="359"/>
        <w:jc w:val="both"/>
      </w:pPr>
      <w:r>
        <w:rPr>
          <w:spacing w:val="-2"/>
        </w:rPr>
        <w:t>Contractors</w:t>
      </w:r>
    </w:p>
    <w:p>
      <w:pPr>
        <w:pStyle w:val="BodyText"/>
        <w:spacing w:line="278" w:lineRule="auto" w:before="42"/>
        <w:ind w:left="23" w:right="159"/>
        <w:jc w:val="both"/>
      </w:pPr>
      <w:r>
        <w:rPr/>
        <w:t>We engaged TLF Research to collect, generate and validated the perception measures we have reported to the Regulator of Social Housing.</w:t>
      </w:r>
    </w:p>
    <w:p>
      <w:pPr>
        <w:pStyle w:val="BodyText"/>
        <w:spacing w:before="41"/>
      </w:pPr>
    </w:p>
    <w:p>
      <w:pPr>
        <w:pStyle w:val="Heading1"/>
        <w:numPr>
          <w:ilvl w:val="0"/>
          <w:numId w:val="1"/>
        </w:numPr>
        <w:tabs>
          <w:tab w:pos="382" w:val="left" w:leader="none"/>
        </w:tabs>
        <w:spacing w:line="240" w:lineRule="auto" w:before="1" w:after="0"/>
        <w:ind w:left="382" w:right="0" w:hanging="359"/>
        <w:jc w:val="both"/>
      </w:pPr>
      <w:r>
        <w:rPr>
          <w:spacing w:val="-2"/>
        </w:rPr>
        <w:t>Exclusions</w:t>
      </w:r>
    </w:p>
    <w:p>
      <w:pPr>
        <w:pStyle w:val="BodyText"/>
        <w:spacing w:line="278" w:lineRule="auto" w:before="42"/>
        <w:ind w:left="23" w:right="159"/>
        <w:jc w:val="both"/>
      </w:pPr>
      <w:r>
        <w:rPr/>
        <w:t>Customers from seven Stepdown properties were excluded from the perception survey due to the very short-term nature of the property tenure. Customers in Stepdown properties use the units after leaving hospital before returning home and have minimal interaction with Curo as a landlord, so it was thought that surveying them would not be appropriate in such circumstances.</w:t>
      </w:r>
    </w:p>
    <w:p>
      <w:pPr>
        <w:pStyle w:val="BodyText"/>
        <w:spacing w:before="40"/>
      </w:pPr>
    </w:p>
    <w:p>
      <w:pPr>
        <w:pStyle w:val="Heading1"/>
        <w:numPr>
          <w:ilvl w:val="0"/>
          <w:numId w:val="1"/>
        </w:numPr>
        <w:tabs>
          <w:tab w:pos="381" w:val="left" w:leader="none"/>
        </w:tabs>
        <w:spacing w:line="240" w:lineRule="auto" w:before="0" w:after="0"/>
        <w:ind w:left="381" w:right="0" w:hanging="358"/>
        <w:jc w:val="both"/>
      </w:pPr>
      <w:r>
        <w:rPr/>
        <w:t>Sample</w:t>
      </w:r>
      <w:r>
        <w:rPr>
          <w:spacing w:val="-11"/>
        </w:rPr>
        <w:t> </w:t>
      </w:r>
      <w:r>
        <w:rPr>
          <w:spacing w:val="-4"/>
        </w:rPr>
        <w:t>Size</w:t>
      </w:r>
    </w:p>
    <w:p>
      <w:pPr>
        <w:pStyle w:val="BodyText"/>
        <w:spacing w:before="42"/>
        <w:ind w:left="23"/>
      </w:pPr>
      <w:r>
        <w:rPr/>
        <w:t>The</w:t>
      </w:r>
      <w:r>
        <w:rPr>
          <w:spacing w:val="-5"/>
        </w:rPr>
        <w:t> </w:t>
      </w:r>
      <w:r>
        <w:rPr/>
        <w:t>required</w:t>
      </w:r>
      <w:r>
        <w:rPr>
          <w:spacing w:val="-4"/>
        </w:rPr>
        <w:t> </w:t>
      </w:r>
      <w:r>
        <w:rPr/>
        <w:t>sample</w:t>
      </w:r>
      <w:r>
        <w:rPr>
          <w:spacing w:val="-3"/>
        </w:rPr>
        <w:t> </w:t>
      </w:r>
      <w:r>
        <w:rPr/>
        <w:t>size</w:t>
      </w:r>
      <w:r>
        <w:rPr>
          <w:spacing w:val="-3"/>
        </w:rPr>
        <w:t> </w:t>
      </w:r>
      <w:r>
        <w:rPr/>
        <w:t>was</w:t>
      </w:r>
      <w:r>
        <w:rPr>
          <w:spacing w:val="-4"/>
        </w:rPr>
        <w:t> met.</w:t>
      </w:r>
    </w:p>
    <w:p>
      <w:pPr>
        <w:pStyle w:val="BodyText"/>
        <w:spacing w:before="84"/>
      </w:pPr>
    </w:p>
    <w:p>
      <w:pPr>
        <w:pStyle w:val="Heading1"/>
        <w:numPr>
          <w:ilvl w:val="0"/>
          <w:numId w:val="1"/>
        </w:numPr>
        <w:tabs>
          <w:tab w:pos="381" w:val="left" w:leader="none"/>
        </w:tabs>
        <w:spacing w:line="240" w:lineRule="auto" w:before="0" w:after="0"/>
        <w:ind w:left="381" w:right="0" w:hanging="358"/>
        <w:jc w:val="both"/>
      </w:pPr>
      <w:r>
        <w:rPr>
          <w:spacing w:val="-2"/>
        </w:rPr>
        <w:t>Incentives</w:t>
      </w:r>
    </w:p>
    <w:p>
      <w:pPr>
        <w:pStyle w:val="BodyText"/>
        <w:spacing w:before="43"/>
        <w:ind w:left="23"/>
      </w:pPr>
      <w:r>
        <w:rPr/>
        <w:t>No</w:t>
      </w:r>
      <w:r>
        <w:rPr>
          <w:spacing w:val="-3"/>
        </w:rPr>
        <w:t> </w:t>
      </w:r>
      <w:r>
        <w:rPr/>
        <w:t>incentives</w:t>
      </w:r>
      <w:r>
        <w:rPr>
          <w:spacing w:val="-2"/>
        </w:rPr>
        <w:t> </w:t>
      </w:r>
      <w:r>
        <w:rPr/>
        <w:t>were</w:t>
      </w:r>
      <w:r>
        <w:rPr>
          <w:spacing w:val="-3"/>
        </w:rPr>
        <w:t> </w:t>
      </w:r>
      <w:r>
        <w:rPr>
          <w:spacing w:val="-2"/>
        </w:rPr>
        <w:t>offered.</w:t>
      </w:r>
    </w:p>
    <w:p>
      <w:pPr>
        <w:pStyle w:val="BodyText"/>
        <w:spacing w:before="86"/>
      </w:pPr>
    </w:p>
    <w:p>
      <w:pPr>
        <w:pStyle w:val="Heading1"/>
        <w:numPr>
          <w:ilvl w:val="0"/>
          <w:numId w:val="1"/>
        </w:numPr>
        <w:tabs>
          <w:tab w:pos="382" w:val="left" w:leader="none"/>
        </w:tabs>
        <w:spacing w:line="240" w:lineRule="auto" w:before="0" w:after="0"/>
        <w:ind w:left="382" w:right="0" w:hanging="359"/>
        <w:jc w:val="both"/>
      </w:pPr>
      <w:r>
        <w:rPr/>
        <w:t>Methodological</w:t>
      </w:r>
      <w:r>
        <w:rPr>
          <w:spacing w:val="-16"/>
        </w:rPr>
        <w:t> </w:t>
      </w:r>
      <w:r>
        <w:rPr>
          <w:spacing w:val="-2"/>
        </w:rPr>
        <w:t>Issues</w:t>
      </w:r>
    </w:p>
    <w:p>
      <w:pPr>
        <w:pStyle w:val="BodyText"/>
        <w:spacing w:line="278" w:lineRule="auto" w:before="43"/>
        <w:ind w:left="23" w:right="161"/>
        <w:jc w:val="both"/>
      </w:pPr>
      <w:r>
        <w:rPr/>
        <w:t>There were no</w:t>
      </w:r>
      <w:r>
        <w:rPr>
          <w:spacing w:val="-1"/>
        </w:rPr>
        <w:t> </w:t>
      </w:r>
      <w:r>
        <w:rPr/>
        <w:t>methodological issues that</w:t>
      </w:r>
      <w:r>
        <w:rPr>
          <w:spacing w:val="-1"/>
        </w:rPr>
        <w:t> </w:t>
      </w:r>
      <w:r>
        <w:rPr/>
        <w:t>are likely to have a material impact on the reported tenant perception measures.</w:t>
      </w:r>
    </w:p>
    <w:p>
      <w:pPr>
        <w:pStyle w:val="BodyText"/>
        <w:spacing w:before="41"/>
      </w:pPr>
    </w:p>
    <w:p>
      <w:pPr>
        <w:pStyle w:val="Heading1"/>
        <w:numPr>
          <w:ilvl w:val="0"/>
          <w:numId w:val="1"/>
        </w:numPr>
        <w:tabs>
          <w:tab w:pos="381" w:val="left" w:leader="none"/>
        </w:tabs>
        <w:spacing w:line="240" w:lineRule="auto" w:before="0" w:after="0"/>
        <w:ind w:left="381" w:right="0" w:hanging="358"/>
        <w:jc w:val="both"/>
      </w:pPr>
      <w:r>
        <w:rPr/>
        <w:t>Excluded</w:t>
      </w:r>
      <w:r>
        <w:rPr>
          <w:spacing w:val="-5"/>
        </w:rPr>
        <w:t> </w:t>
      </w:r>
      <w:r>
        <w:rPr>
          <w:spacing w:val="-2"/>
        </w:rPr>
        <w:t>Responses</w:t>
      </w:r>
    </w:p>
    <w:p>
      <w:pPr>
        <w:pStyle w:val="BodyText"/>
        <w:spacing w:line="278" w:lineRule="auto" w:before="43"/>
        <w:ind w:left="23" w:right="160"/>
        <w:jc w:val="both"/>
      </w:pPr>
      <w:r>
        <w:rPr/>
        <w:t>Curo has not undertaken any tenant perception surveys which include TSM questions that were not included in the calculation of the TSMs.</w:t>
      </w:r>
    </w:p>
    <w:p>
      <w:pPr>
        <w:pStyle w:val="BodyText"/>
        <w:spacing w:before="40"/>
      </w:pPr>
    </w:p>
    <w:p>
      <w:pPr>
        <w:pStyle w:val="Heading1"/>
        <w:numPr>
          <w:ilvl w:val="0"/>
          <w:numId w:val="1"/>
        </w:numPr>
        <w:tabs>
          <w:tab w:pos="382" w:val="left" w:leader="none"/>
        </w:tabs>
        <w:spacing w:line="240" w:lineRule="auto" w:before="1" w:after="0"/>
        <w:ind w:left="382" w:right="0" w:hanging="359"/>
        <w:jc w:val="both"/>
      </w:pPr>
      <w:r>
        <w:rPr/>
        <w:t>Visual</w:t>
      </w:r>
      <w:r>
        <w:rPr>
          <w:spacing w:val="-7"/>
        </w:rPr>
        <w:t> </w:t>
      </w:r>
      <w:r>
        <w:rPr>
          <w:spacing w:val="-2"/>
        </w:rPr>
        <w:t>Features</w:t>
      </w:r>
    </w:p>
    <w:p>
      <w:pPr>
        <w:pStyle w:val="BodyText"/>
        <w:spacing w:before="42"/>
        <w:ind w:left="23"/>
      </w:pPr>
      <w:r>
        <w:rPr/>
        <w:t>No</w:t>
      </w:r>
      <w:r>
        <w:rPr>
          <w:spacing w:val="-6"/>
        </w:rPr>
        <w:t> </w:t>
      </w:r>
      <w:r>
        <w:rPr/>
        <w:t>visual</w:t>
      </w:r>
      <w:r>
        <w:rPr>
          <w:spacing w:val="-6"/>
        </w:rPr>
        <w:t> </w:t>
      </w:r>
      <w:r>
        <w:rPr/>
        <w:t>features</w:t>
      </w:r>
      <w:r>
        <w:rPr>
          <w:spacing w:val="-4"/>
        </w:rPr>
        <w:t> </w:t>
      </w:r>
      <w:r>
        <w:rPr/>
        <w:t>were</w:t>
      </w:r>
      <w:r>
        <w:rPr>
          <w:spacing w:val="-4"/>
        </w:rPr>
        <w:t> </w:t>
      </w:r>
      <w:r>
        <w:rPr/>
        <w:t>included</w:t>
      </w:r>
      <w:r>
        <w:rPr>
          <w:spacing w:val="-4"/>
        </w:rPr>
        <w:t> </w:t>
      </w:r>
      <w:r>
        <w:rPr/>
        <w:t>alongside</w:t>
      </w:r>
      <w:r>
        <w:rPr>
          <w:spacing w:val="-5"/>
        </w:rPr>
        <w:t> </w:t>
      </w:r>
      <w:r>
        <w:rPr/>
        <w:t>the</w:t>
      </w:r>
      <w:r>
        <w:rPr>
          <w:spacing w:val="-4"/>
        </w:rPr>
        <w:t> </w:t>
      </w:r>
      <w:r>
        <w:rPr/>
        <w:t>required</w:t>
      </w:r>
      <w:r>
        <w:rPr>
          <w:spacing w:val="-5"/>
        </w:rPr>
        <w:t> </w:t>
      </w:r>
      <w:r>
        <w:rPr/>
        <w:t>response</w:t>
      </w:r>
      <w:r>
        <w:rPr>
          <w:spacing w:val="-6"/>
        </w:rPr>
        <w:t> </w:t>
      </w:r>
      <w:r>
        <w:rPr>
          <w:spacing w:val="-2"/>
        </w:rPr>
        <w:t>options.</w:t>
      </w:r>
    </w:p>
    <w:p>
      <w:pPr>
        <w:pStyle w:val="BodyText"/>
        <w:spacing w:after="0"/>
        <w:sectPr>
          <w:pgSz w:w="11910" w:h="16840"/>
          <w:pgMar w:top="1340" w:bottom="280" w:left="1417" w:right="1275"/>
        </w:sectPr>
      </w:pPr>
    </w:p>
    <w:p>
      <w:pPr>
        <w:spacing w:before="91"/>
        <w:ind w:left="23" w:right="0" w:firstLine="0"/>
        <w:jc w:val="left"/>
        <w:rPr>
          <w:rFonts w:ascii="Arial"/>
          <w:b/>
          <w:sz w:val="24"/>
        </w:rPr>
      </w:pPr>
      <w:bookmarkStart w:name="Appendix A" w:id="2"/>
      <w:bookmarkEnd w:id="2"/>
      <w:r>
        <w:rPr/>
      </w:r>
      <w:r>
        <w:rPr>
          <w:rFonts w:ascii="Arial"/>
          <w:b/>
          <w:spacing w:val="-2"/>
          <w:sz w:val="24"/>
        </w:rPr>
        <w:t>Appendix</w:t>
      </w:r>
      <w:r>
        <w:rPr>
          <w:rFonts w:ascii="Arial"/>
          <w:b/>
          <w:spacing w:val="-5"/>
          <w:sz w:val="24"/>
        </w:rPr>
        <w:t> </w:t>
      </w:r>
      <w:r>
        <w:rPr>
          <w:rFonts w:ascii="Arial"/>
          <w:b/>
          <w:spacing w:val="-10"/>
          <w:sz w:val="24"/>
        </w:rPr>
        <w:t>A</w:t>
      </w:r>
    </w:p>
    <w:p>
      <w:pPr>
        <w:pStyle w:val="BodyText"/>
        <w:spacing w:before="29"/>
        <w:rPr>
          <w:rFonts w:ascii="Arial"/>
          <w:b/>
          <w:sz w:val="24"/>
        </w:rPr>
      </w:pPr>
    </w:p>
    <w:p>
      <w:pPr>
        <w:spacing w:line="484" w:lineRule="auto" w:before="1"/>
        <w:ind w:left="23" w:right="0" w:firstLine="0"/>
        <w:jc w:val="left"/>
        <w:rPr>
          <w:rFonts w:ascii="Arial" w:hAnsi="Arial"/>
          <w:b/>
          <w:sz w:val="24"/>
        </w:rPr>
      </w:pPr>
      <w:r>
        <w:rPr>
          <w:rFonts w:ascii="Arial" w:hAnsi="Arial"/>
          <w:b/>
          <w:sz w:val="24"/>
        </w:rPr>
        <w:t>Curo</w:t>
      </w:r>
      <w:r>
        <w:rPr>
          <w:rFonts w:ascii="Arial" w:hAnsi="Arial"/>
          <w:b/>
          <w:spacing w:val="-15"/>
          <w:sz w:val="24"/>
        </w:rPr>
        <w:t> </w:t>
      </w:r>
      <w:r>
        <w:rPr>
          <w:rFonts w:ascii="Arial" w:hAnsi="Arial"/>
          <w:b/>
          <w:sz w:val="24"/>
        </w:rPr>
        <w:t>Q4</w:t>
      </w:r>
      <w:r>
        <w:rPr>
          <w:rFonts w:ascii="Arial" w:hAnsi="Arial"/>
          <w:b/>
          <w:spacing w:val="-15"/>
          <w:sz w:val="24"/>
        </w:rPr>
        <w:t> </w:t>
      </w:r>
      <w:r>
        <w:rPr>
          <w:rFonts w:ascii="Arial" w:hAnsi="Arial"/>
          <w:b/>
          <w:sz w:val="24"/>
        </w:rPr>
        <w:t>TSM</w:t>
      </w:r>
      <w:r>
        <w:rPr>
          <w:rFonts w:ascii="Arial" w:hAnsi="Arial"/>
          <w:b/>
          <w:spacing w:val="-15"/>
          <w:sz w:val="24"/>
        </w:rPr>
        <w:t> </w:t>
      </w:r>
      <w:r>
        <w:rPr>
          <w:rFonts w:ascii="Arial" w:hAnsi="Arial"/>
          <w:b/>
          <w:sz w:val="24"/>
        </w:rPr>
        <w:t>Year</w:t>
      </w:r>
      <w:r>
        <w:rPr>
          <w:rFonts w:ascii="Arial" w:hAnsi="Arial"/>
          <w:b/>
          <w:spacing w:val="-15"/>
          <w:sz w:val="24"/>
        </w:rPr>
        <w:t> </w:t>
      </w:r>
      <w:r>
        <w:rPr>
          <w:rFonts w:ascii="Arial" w:hAnsi="Arial"/>
          <w:b/>
          <w:sz w:val="24"/>
        </w:rPr>
        <w:t>2</w:t>
      </w:r>
      <w:r>
        <w:rPr>
          <w:rFonts w:ascii="Arial" w:hAnsi="Arial"/>
          <w:b/>
          <w:spacing w:val="-16"/>
          <w:sz w:val="24"/>
        </w:rPr>
        <w:t> </w:t>
      </w:r>
      <w:r>
        <w:rPr>
          <w:rFonts w:ascii="Arial" w:hAnsi="Arial"/>
          <w:b/>
          <w:sz w:val="24"/>
        </w:rPr>
        <w:t>–</w:t>
      </w:r>
      <w:r>
        <w:rPr>
          <w:rFonts w:ascii="Arial" w:hAnsi="Arial"/>
          <w:b/>
          <w:spacing w:val="-15"/>
          <w:sz w:val="24"/>
        </w:rPr>
        <w:t> </w:t>
      </w:r>
      <w:r>
        <w:rPr>
          <w:rFonts w:ascii="Arial" w:hAnsi="Arial"/>
          <w:b/>
          <w:sz w:val="24"/>
        </w:rPr>
        <w:t>Statement</w:t>
      </w:r>
      <w:r>
        <w:rPr>
          <w:rFonts w:ascii="Arial" w:hAnsi="Arial"/>
          <w:b/>
          <w:spacing w:val="-15"/>
          <w:sz w:val="24"/>
        </w:rPr>
        <w:t> </w:t>
      </w:r>
      <w:r>
        <w:rPr>
          <w:rFonts w:ascii="Arial" w:hAnsi="Arial"/>
          <w:b/>
          <w:sz w:val="24"/>
        </w:rPr>
        <w:t>of</w:t>
      </w:r>
      <w:r>
        <w:rPr>
          <w:rFonts w:ascii="Arial" w:hAnsi="Arial"/>
          <w:b/>
          <w:spacing w:val="-15"/>
          <w:sz w:val="24"/>
        </w:rPr>
        <w:t> </w:t>
      </w:r>
      <w:r>
        <w:rPr>
          <w:rFonts w:ascii="Arial" w:hAnsi="Arial"/>
          <w:b/>
          <w:sz w:val="24"/>
        </w:rPr>
        <w:t>Research</w:t>
      </w:r>
      <w:r>
        <w:rPr>
          <w:rFonts w:ascii="Arial" w:hAnsi="Arial"/>
          <w:b/>
          <w:spacing w:val="-14"/>
          <w:sz w:val="24"/>
        </w:rPr>
        <w:t> </w:t>
      </w:r>
      <w:r>
        <w:rPr>
          <w:rFonts w:ascii="Arial" w:hAnsi="Arial"/>
          <w:b/>
          <w:sz w:val="24"/>
        </w:rPr>
        <w:t>Reliability</w:t>
      </w:r>
      <w:r>
        <w:rPr>
          <w:rFonts w:ascii="Arial" w:hAnsi="Arial"/>
          <w:b/>
          <w:spacing w:val="-12"/>
          <w:sz w:val="24"/>
        </w:rPr>
        <w:t> </w:t>
      </w:r>
      <w:r>
        <w:rPr>
          <w:rFonts w:ascii="Arial" w:hAnsi="Arial"/>
          <w:b/>
          <w:sz w:val="24"/>
        </w:rPr>
        <w:t>and</w:t>
      </w:r>
      <w:r>
        <w:rPr>
          <w:rFonts w:ascii="Arial" w:hAnsi="Arial"/>
          <w:b/>
          <w:spacing w:val="-15"/>
          <w:sz w:val="24"/>
        </w:rPr>
        <w:t> </w:t>
      </w:r>
      <w:r>
        <w:rPr>
          <w:rFonts w:ascii="Arial" w:hAnsi="Arial"/>
          <w:b/>
          <w:sz w:val="24"/>
        </w:rPr>
        <w:t>Representativeness Statistical accuracy</w:t>
      </w:r>
    </w:p>
    <w:p>
      <w:pPr>
        <w:pStyle w:val="BodyText"/>
        <w:spacing w:line="249" w:lineRule="exact"/>
        <w:ind w:left="23"/>
        <w:rPr>
          <w:rFonts w:ascii="Arial"/>
        </w:rPr>
      </w:pPr>
      <w:r>
        <w:rPr>
          <w:rFonts w:ascii="Arial"/>
        </w:rPr>
        <w:t>At</w:t>
      </w:r>
      <w:r>
        <w:rPr>
          <w:rFonts w:ascii="Arial"/>
          <w:spacing w:val="-7"/>
        </w:rPr>
        <w:t> </w:t>
      </w:r>
      <w:r>
        <w:rPr>
          <w:rFonts w:ascii="Arial"/>
        </w:rPr>
        <w:t>the</w:t>
      </w:r>
      <w:r>
        <w:rPr>
          <w:rFonts w:ascii="Arial"/>
          <w:spacing w:val="-8"/>
        </w:rPr>
        <w:t> </w:t>
      </w:r>
      <w:r>
        <w:rPr>
          <w:rFonts w:ascii="Arial"/>
        </w:rPr>
        <w:t>end</w:t>
      </w:r>
      <w:r>
        <w:rPr>
          <w:rFonts w:ascii="Arial"/>
          <w:spacing w:val="-7"/>
        </w:rPr>
        <w:t> </w:t>
      </w:r>
      <w:r>
        <w:rPr>
          <w:rFonts w:ascii="Arial"/>
        </w:rPr>
        <w:t>of</w:t>
      </w:r>
      <w:r>
        <w:rPr>
          <w:rFonts w:ascii="Arial"/>
          <w:spacing w:val="-7"/>
        </w:rPr>
        <w:t> </w:t>
      </w:r>
      <w:r>
        <w:rPr>
          <w:rFonts w:ascii="Arial"/>
        </w:rPr>
        <w:t>FY24/25,</w:t>
      </w:r>
      <w:r>
        <w:rPr>
          <w:rFonts w:ascii="Arial"/>
          <w:spacing w:val="-8"/>
        </w:rPr>
        <w:t> </w:t>
      </w:r>
      <w:r>
        <w:rPr>
          <w:rFonts w:ascii="Arial"/>
        </w:rPr>
        <w:t>we</w:t>
      </w:r>
      <w:r>
        <w:rPr>
          <w:rFonts w:ascii="Arial"/>
          <w:spacing w:val="-9"/>
        </w:rPr>
        <w:t> </w:t>
      </w:r>
      <w:r>
        <w:rPr>
          <w:rFonts w:ascii="Arial"/>
        </w:rPr>
        <w:t>collected</w:t>
      </w:r>
      <w:r>
        <w:rPr>
          <w:rFonts w:ascii="Arial"/>
          <w:spacing w:val="-5"/>
        </w:rPr>
        <w:t> </w:t>
      </w:r>
      <w:r>
        <w:rPr>
          <w:rFonts w:ascii="Arial"/>
        </w:rPr>
        <w:t>1068</w:t>
      </w:r>
      <w:r>
        <w:rPr>
          <w:rFonts w:ascii="Arial"/>
          <w:spacing w:val="-8"/>
        </w:rPr>
        <w:t> </w:t>
      </w:r>
      <w:r>
        <w:rPr>
          <w:rFonts w:ascii="Arial"/>
        </w:rPr>
        <w:t>LCRA</w:t>
      </w:r>
      <w:r>
        <w:rPr>
          <w:rFonts w:ascii="Arial"/>
          <w:spacing w:val="-8"/>
        </w:rPr>
        <w:t> </w:t>
      </w:r>
      <w:r>
        <w:rPr>
          <w:rFonts w:ascii="Arial"/>
        </w:rPr>
        <w:t>responses</w:t>
      </w:r>
      <w:r>
        <w:rPr>
          <w:rFonts w:ascii="Arial"/>
          <w:spacing w:val="-9"/>
        </w:rPr>
        <w:t> </w:t>
      </w:r>
      <w:r>
        <w:rPr>
          <w:rFonts w:ascii="Arial"/>
        </w:rPr>
        <w:t>(includes</w:t>
      </w:r>
      <w:r>
        <w:rPr>
          <w:rFonts w:ascii="Arial"/>
          <w:spacing w:val="-7"/>
        </w:rPr>
        <w:t> </w:t>
      </w:r>
      <w:r>
        <w:rPr>
          <w:rFonts w:ascii="Arial"/>
        </w:rPr>
        <w:t>41</w:t>
      </w:r>
      <w:r>
        <w:rPr>
          <w:rFonts w:ascii="Arial"/>
          <w:spacing w:val="-8"/>
        </w:rPr>
        <w:t> </w:t>
      </w:r>
      <w:r>
        <w:rPr>
          <w:rFonts w:ascii="Arial"/>
        </w:rPr>
        <w:t>partial</w:t>
      </w:r>
      <w:r>
        <w:rPr>
          <w:rFonts w:ascii="Arial"/>
          <w:spacing w:val="-7"/>
        </w:rPr>
        <w:t> </w:t>
      </w:r>
      <w:r>
        <w:rPr>
          <w:rFonts w:ascii="Arial"/>
          <w:spacing w:val="-2"/>
        </w:rPr>
        <w:t>completes).</w:t>
      </w:r>
    </w:p>
    <w:p>
      <w:pPr>
        <w:pStyle w:val="BodyText"/>
        <w:spacing w:before="26"/>
        <w:rPr>
          <w:rFonts w:ascii="Arial"/>
        </w:rPr>
      </w:pPr>
    </w:p>
    <w:p>
      <w:pPr>
        <w:pStyle w:val="BodyText"/>
        <w:ind w:left="23"/>
        <w:rPr>
          <w:rFonts w:ascii="Arial"/>
        </w:rPr>
      </w:pPr>
      <w:r>
        <w:rPr>
          <w:rFonts w:ascii="Arial"/>
        </w:rPr>
        <w:t>The</w:t>
      </w:r>
      <w:r>
        <w:rPr>
          <w:rFonts w:ascii="Arial"/>
          <w:spacing w:val="-11"/>
        </w:rPr>
        <w:t> </w:t>
      </w:r>
      <w:r>
        <w:rPr>
          <w:rFonts w:ascii="Arial"/>
        </w:rPr>
        <w:t>statistical</w:t>
      </w:r>
      <w:r>
        <w:rPr>
          <w:rFonts w:ascii="Arial"/>
          <w:spacing w:val="-9"/>
        </w:rPr>
        <w:t> </w:t>
      </w:r>
      <w:r>
        <w:rPr>
          <w:rFonts w:ascii="Arial"/>
        </w:rPr>
        <w:t>accuracy</w:t>
      </w:r>
      <w:r>
        <w:rPr>
          <w:rFonts w:ascii="Arial"/>
          <w:spacing w:val="-10"/>
        </w:rPr>
        <w:t> </w:t>
      </w:r>
      <w:r>
        <w:rPr>
          <w:rFonts w:ascii="Arial"/>
        </w:rPr>
        <w:t>is</w:t>
      </w:r>
      <w:r>
        <w:rPr>
          <w:rFonts w:ascii="Arial"/>
          <w:spacing w:val="-8"/>
        </w:rPr>
        <w:t> </w:t>
      </w:r>
      <w:r>
        <w:rPr>
          <w:rFonts w:ascii="Arial"/>
          <w:spacing w:val="-2"/>
        </w:rPr>
        <w:t>currently:</w:t>
      </w:r>
    </w:p>
    <w:p>
      <w:pPr>
        <w:pStyle w:val="BodyText"/>
        <w:spacing w:before="14"/>
        <w:ind w:left="23"/>
        <w:rPr>
          <w:rFonts w:ascii="Arial" w:hAnsi="Arial"/>
        </w:rPr>
      </w:pPr>
      <w:r>
        <w:rPr>
          <w:rFonts w:ascii="Arial" w:hAnsi="Arial"/>
        </w:rPr>
        <w:t>LCRA</w:t>
      </w:r>
      <w:r>
        <w:rPr>
          <w:rFonts w:ascii="Arial" w:hAnsi="Arial"/>
          <w:spacing w:val="-11"/>
        </w:rPr>
        <w:t> </w:t>
      </w:r>
      <w:r>
        <w:rPr>
          <w:rFonts w:ascii="Arial" w:hAnsi="Arial"/>
        </w:rPr>
        <w:t>=</w:t>
      </w:r>
      <w:r>
        <w:rPr>
          <w:rFonts w:ascii="Arial" w:hAnsi="Arial"/>
          <w:spacing w:val="-10"/>
        </w:rPr>
        <w:t> </w:t>
      </w:r>
      <w:r>
        <w:rPr>
          <w:rFonts w:ascii="Arial" w:hAnsi="Arial"/>
          <w:spacing w:val="-2"/>
        </w:rPr>
        <w:t>±2.6%</w:t>
      </w:r>
    </w:p>
    <w:p>
      <w:pPr>
        <w:pStyle w:val="BodyText"/>
        <w:spacing w:before="27"/>
        <w:rPr>
          <w:rFonts w:ascii="Arial"/>
        </w:rPr>
      </w:pPr>
    </w:p>
    <w:p>
      <w:pPr>
        <w:pStyle w:val="BodyText"/>
        <w:ind w:left="23"/>
        <w:rPr>
          <w:rFonts w:ascii="Arial"/>
        </w:rPr>
      </w:pPr>
      <w:r>
        <w:rPr>
          <w:rFonts w:ascii="Arial"/>
        </w:rPr>
        <w:t>The</w:t>
      </w:r>
      <w:r>
        <w:rPr>
          <w:rFonts w:ascii="Arial"/>
          <w:spacing w:val="-8"/>
        </w:rPr>
        <w:t> </w:t>
      </w:r>
      <w:r>
        <w:rPr>
          <w:rFonts w:ascii="Arial"/>
        </w:rPr>
        <w:t>aim</w:t>
      </w:r>
      <w:r>
        <w:rPr>
          <w:rFonts w:ascii="Arial"/>
          <w:spacing w:val="-7"/>
        </w:rPr>
        <w:t> </w:t>
      </w:r>
      <w:r>
        <w:rPr>
          <w:rFonts w:ascii="Arial"/>
        </w:rPr>
        <w:t>at</w:t>
      </w:r>
      <w:r>
        <w:rPr>
          <w:rFonts w:ascii="Arial"/>
          <w:spacing w:val="-6"/>
        </w:rPr>
        <w:t> </w:t>
      </w:r>
      <w:r>
        <w:rPr>
          <w:rFonts w:ascii="Arial"/>
        </w:rPr>
        <w:t>the</w:t>
      </w:r>
      <w:r>
        <w:rPr>
          <w:rFonts w:ascii="Arial"/>
          <w:spacing w:val="-7"/>
        </w:rPr>
        <w:t> </w:t>
      </w:r>
      <w:r>
        <w:rPr>
          <w:rFonts w:ascii="Arial"/>
        </w:rPr>
        <w:t>end</w:t>
      </w:r>
      <w:r>
        <w:rPr>
          <w:rFonts w:ascii="Arial"/>
          <w:spacing w:val="-6"/>
        </w:rPr>
        <w:t> </w:t>
      </w:r>
      <w:r>
        <w:rPr>
          <w:rFonts w:ascii="Arial"/>
        </w:rPr>
        <w:t>of</w:t>
      </w:r>
      <w:r>
        <w:rPr>
          <w:rFonts w:ascii="Arial"/>
          <w:spacing w:val="-6"/>
        </w:rPr>
        <w:t> </w:t>
      </w:r>
      <w:r>
        <w:rPr>
          <w:rFonts w:ascii="Arial"/>
        </w:rPr>
        <w:t>the</w:t>
      </w:r>
      <w:r>
        <w:rPr>
          <w:rFonts w:ascii="Arial"/>
          <w:spacing w:val="-9"/>
        </w:rPr>
        <w:t> </w:t>
      </w:r>
      <w:r>
        <w:rPr>
          <w:rFonts w:ascii="Arial"/>
        </w:rPr>
        <w:t>year</w:t>
      </w:r>
      <w:r>
        <w:rPr>
          <w:rFonts w:ascii="Arial"/>
          <w:spacing w:val="-7"/>
        </w:rPr>
        <w:t> </w:t>
      </w:r>
      <w:r>
        <w:rPr>
          <w:rFonts w:ascii="Arial"/>
        </w:rPr>
        <w:t>is</w:t>
      </w:r>
      <w:r>
        <w:rPr>
          <w:rFonts w:ascii="Arial"/>
          <w:spacing w:val="-6"/>
        </w:rPr>
        <w:t> </w:t>
      </w:r>
      <w:r>
        <w:rPr>
          <w:rFonts w:ascii="Arial"/>
        </w:rPr>
        <w:t>to</w:t>
      </w:r>
      <w:r>
        <w:rPr>
          <w:rFonts w:ascii="Arial"/>
          <w:spacing w:val="-6"/>
        </w:rPr>
        <w:t> </w:t>
      </w:r>
      <w:r>
        <w:rPr>
          <w:rFonts w:ascii="Arial"/>
        </w:rPr>
        <w:t>achieve</w:t>
      </w:r>
      <w:r>
        <w:rPr>
          <w:rFonts w:ascii="Arial"/>
          <w:spacing w:val="-8"/>
        </w:rPr>
        <w:t> </w:t>
      </w:r>
      <w:r>
        <w:rPr>
          <w:rFonts w:ascii="Arial"/>
        </w:rPr>
        <w:t>accuracy</w:t>
      </w:r>
      <w:r>
        <w:rPr>
          <w:rFonts w:ascii="Arial"/>
          <w:spacing w:val="-7"/>
        </w:rPr>
        <w:t> </w:t>
      </w:r>
      <w:r>
        <w:rPr>
          <w:rFonts w:ascii="Arial"/>
        </w:rPr>
        <w:t>levels</w:t>
      </w:r>
      <w:r>
        <w:rPr>
          <w:rFonts w:ascii="Arial"/>
          <w:spacing w:val="-5"/>
        </w:rPr>
        <w:t> of:</w:t>
      </w:r>
    </w:p>
    <w:p>
      <w:pPr>
        <w:pStyle w:val="BodyText"/>
        <w:spacing w:line="504" w:lineRule="auto" w:before="13"/>
        <w:ind w:left="23" w:right="1818"/>
        <w:rPr>
          <w:rFonts w:ascii="Arial" w:hAnsi="Arial"/>
          <w:b/>
          <w:sz w:val="24"/>
        </w:rPr>
      </w:pPr>
      <w:r>
        <w:rPr>
          <w:rFonts w:ascii="Arial" w:hAnsi="Arial"/>
        </w:rPr>
        <w:t>LCRA</w:t>
      </w:r>
      <w:r>
        <w:rPr>
          <w:rFonts w:ascii="Arial" w:hAnsi="Arial"/>
          <w:spacing w:val="-9"/>
        </w:rPr>
        <w:t> </w:t>
      </w:r>
      <w:r>
        <w:rPr>
          <w:rFonts w:ascii="Arial" w:hAnsi="Arial"/>
        </w:rPr>
        <w:t>=</w:t>
      </w:r>
      <w:r>
        <w:rPr>
          <w:rFonts w:ascii="Arial" w:hAnsi="Arial"/>
          <w:spacing w:val="-8"/>
        </w:rPr>
        <w:t> </w:t>
      </w:r>
      <w:r>
        <w:rPr>
          <w:rFonts w:ascii="Arial" w:hAnsi="Arial"/>
        </w:rPr>
        <w:t>±3%</w:t>
      </w:r>
      <w:r>
        <w:rPr>
          <w:rFonts w:ascii="Arial" w:hAnsi="Arial"/>
          <w:spacing w:val="-12"/>
        </w:rPr>
        <w:t> </w:t>
      </w:r>
      <w:r>
        <w:rPr>
          <w:rFonts w:ascii="Arial" w:hAnsi="Arial"/>
        </w:rPr>
        <w:t>(based</w:t>
      </w:r>
      <w:r>
        <w:rPr>
          <w:rFonts w:ascii="Arial" w:hAnsi="Arial"/>
          <w:spacing w:val="-8"/>
        </w:rPr>
        <w:t> </w:t>
      </w:r>
      <w:r>
        <w:rPr>
          <w:rFonts w:ascii="Arial" w:hAnsi="Arial"/>
        </w:rPr>
        <w:t>on</w:t>
      </w:r>
      <w:r>
        <w:rPr>
          <w:rFonts w:ascii="Arial" w:hAnsi="Arial"/>
          <w:spacing w:val="-11"/>
        </w:rPr>
        <w:t> </w:t>
      </w:r>
      <w:r>
        <w:rPr>
          <w:rFonts w:ascii="Arial" w:hAnsi="Arial"/>
        </w:rPr>
        <w:t>~11,875</w:t>
      </w:r>
      <w:r>
        <w:rPr>
          <w:rFonts w:ascii="Arial" w:hAnsi="Arial"/>
          <w:spacing w:val="-9"/>
        </w:rPr>
        <w:t> </w:t>
      </w:r>
      <w:r>
        <w:rPr>
          <w:rFonts w:ascii="Arial" w:hAnsi="Arial"/>
        </w:rPr>
        <w:t>LCRA</w:t>
      </w:r>
      <w:r>
        <w:rPr>
          <w:rFonts w:ascii="Arial" w:hAnsi="Arial"/>
          <w:spacing w:val="-9"/>
        </w:rPr>
        <w:t> </w:t>
      </w:r>
      <w:r>
        <w:rPr>
          <w:rFonts w:ascii="Arial" w:hAnsi="Arial"/>
        </w:rPr>
        <w:t>tenants</w:t>
      </w:r>
      <w:r>
        <w:rPr>
          <w:rFonts w:ascii="Arial" w:hAnsi="Arial"/>
          <w:spacing w:val="-8"/>
        </w:rPr>
        <w:t> </w:t>
      </w:r>
      <w:r>
        <w:rPr>
          <w:rFonts w:ascii="Arial" w:hAnsi="Arial"/>
        </w:rPr>
        <w:t>in</w:t>
      </w:r>
      <w:r>
        <w:rPr>
          <w:rFonts w:ascii="Arial" w:hAnsi="Arial"/>
          <w:spacing w:val="-11"/>
        </w:rPr>
        <w:t> </w:t>
      </w:r>
      <w:r>
        <w:rPr>
          <w:rFonts w:ascii="Arial" w:hAnsi="Arial"/>
        </w:rPr>
        <w:t>the</w:t>
      </w:r>
      <w:r>
        <w:rPr>
          <w:rFonts w:ascii="Arial" w:hAnsi="Arial"/>
          <w:spacing w:val="-9"/>
        </w:rPr>
        <w:t> </w:t>
      </w:r>
      <w:r>
        <w:rPr>
          <w:rFonts w:ascii="Arial" w:hAnsi="Arial"/>
        </w:rPr>
        <w:t>Q1</w:t>
      </w:r>
      <w:r>
        <w:rPr>
          <w:rFonts w:ascii="Arial" w:hAnsi="Arial"/>
          <w:spacing w:val="-9"/>
        </w:rPr>
        <w:t> </w:t>
      </w:r>
      <w:r>
        <w:rPr>
          <w:rFonts w:ascii="Arial" w:hAnsi="Arial"/>
        </w:rPr>
        <w:t>client</w:t>
      </w:r>
      <w:r>
        <w:rPr>
          <w:rFonts w:ascii="Arial" w:hAnsi="Arial"/>
          <w:spacing w:val="-8"/>
        </w:rPr>
        <w:t> </w:t>
      </w:r>
      <w:r>
        <w:rPr>
          <w:rFonts w:ascii="Arial" w:hAnsi="Arial"/>
        </w:rPr>
        <w:t>database) We have hit the required statistical accuracy required for LCRA. </w:t>
      </w:r>
      <w:r>
        <w:rPr>
          <w:rFonts w:ascii="Arial" w:hAnsi="Arial"/>
          <w:b/>
          <w:spacing w:val="-2"/>
          <w:sz w:val="24"/>
        </w:rPr>
        <w:t>Representativeness</w:t>
      </w:r>
    </w:p>
    <w:p>
      <w:pPr>
        <w:spacing w:line="232" w:lineRule="exact" w:before="0"/>
        <w:ind w:left="23" w:right="0" w:firstLine="0"/>
        <w:jc w:val="left"/>
        <w:rPr>
          <w:rFonts w:ascii="Arial"/>
          <w:b/>
          <w:sz w:val="22"/>
        </w:rPr>
      </w:pPr>
      <w:r>
        <w:rPr>
          <w:rFonts w:ascii="Arial"/>
          <w:b/>
          <w:spacing w:val="-7"/>
          <w:sz w:val="22"/>
          <w:u w:val="single"/>
        </w:rPr>
        <w:t>LCRA</w:t>
      </w:r>
      <w:r>
        <w:rPr>
          <w:rFonts w:ascii="Arial"/>
          <w:b/>
          <w:spacing w:val="-3"/>
          <w:sz w:val="22"/>
          <w:u w:val="single"/>
        </w:rPr>
        <w:t> </w:t>
      </w:r>
      <w:r>
        <w:rPr>
          <w:rFonts w:ascii="Arial"/>
          <w:b/>
          <w:spacing w:val="-2"/>
          <w:sz w:val="22"/>
          <w:u w:val="single"/>
        </w:rPr>
        <w:t>summary</w:t>
      </w:r>
    </w:p>
    <w:p>
      <w:pPr>
        <w:pStyle w:val="BodyText"/>
        <w:spacing w:before="27"/>
        <w:rPr>
          <w:rFonts w:ascii="Arial"/>
          <w:b/>
        </w:rPr>
      </w:pPr>
    </w:p>
    <w:p>
      <w:pPr>
        <w:pStyle w:val="BodyText"/>
        <w:spacing w:line="252" w:lineRule="auto"/>
        <w:ind w:left="23" w:right="262"/>
        <w:rPr>
          <w:rFonts w:ascii="Arial" w:hAnsi="Arial"/>
        </w:rPr>
      </w:pPr>
      <w:r>
        <w:rPr>
          <w:rFonts w:ascii="Arial" w:hAnsi="Arial"/>
        </w:rPr>
        <w:t>Tenure, age, ethnicity – as is stated in the TSM documentation, we need these representation</w:t>
      </w:r>
      <w:r>
        <w:rPr>
          <w:rFonts w:ascii="Arial" w:hAnsi="Arial"/>
          <w:spacing w:val="-5"/>
        </w:rPr>
        <w:t> </w:t>
      </w:r>
      <w:r>
        <w:rPr>
          <w:rFonts w:ascii="Arial" w:hAnsi="Arial"/>
        </w:rPr>
        <w:t>criteria</w:t>
      </w:r>
      <w:r>
        <w:rPr>
          <w:rFonts w:ascii="Arial" w:hAnsi="Arial"/>
          <w:spacing w:val="-5"/>
        </w:rPr>
        <w:t> </w:t>
      </w:r>
      <w:r>
        <w:rPr>
          <w:rFonts w:ascii="Arial" w:hAnsi="Arial"/>
        </w:rPr>
        <w:t>to</w:t>
      </w:r>
      <w:r>
        <w:rPr>
          <w:rFonts w:ascii="Arial" w:hAnsi="Arial"/>
          <w:spacing w:val="-7"/>
        </w:rPr>
        <w:t> </w:t>
      </w:r>
      <w:r>
        <w:rPr>
          <w:rFonts w:ascii="Arial" w:hAnsi="Arial"/>
        </w:rPr>
        <w:t>be</w:t>
      </w:r>
      <w:r>
        <w:rPr>
          <w:rFonts w:ascii="Arial" w:hAnsi="Arial"/>
          <w:spacing w:val="-6"/>
        </w:rPr>
        <w:t> </w:t>
      </w:r>
      <w:r>
        <w:rPr>
          <w:rFonts w:ascii="Arial" w:hAnsi="Arial"/>
        </w:rPr>
        <w:t>as</w:t>
      </w:r>
      <w:r>
        <w:rPr>
          <w:rFonts w:ascii="Arial" w:hAnsi="Arial"/>
          <w:spacing w:val="-4"/>
        </w:rPr>
        <w:t> </w:t>
      </w:r>
      <w:r>
        <w:rPr>
          <w:rFonts w:ascii="Arial" w:hAnsi="Arial"/>
        </w:rPr>
        <w:t>close</w:t>
      </w:r>
      <w:r>
        <w:rPr>
          <w:rFonts w:ascii="Arial" w:hAnsi="Arial"/>
          <w:spacing w:val="-5"/>
        </w:rPr>
        <w:t> </w:t>
      </w:r>
      <w:r>
        <w:rPr>
          <w:rFonts w:ascii="Arial" w:hAnsi="Arial"/>
        </w:rPr>
        <w:t>as</w:t>
      </w:r>
      <w:r>
        <w:rPr>
          <w:rFonts w:ascii="Arial" w:hAnsi="Arial"/>
          <w:spacing w:val="-7"/>
        </w:rPr>
        <w:t> </w:t>
      </w:r>
      <w:r>
        <w:rPr>
          <w:rFonts w:ascii="Arial" w:hAnsi="Arial"/>
        </w:rPr>
        <w:t>possible</w:t>
      </w:r>
      <w:r>
        <w:rPr>
          <w:rFonts w:ascii="Arial" w:hAnsi="Arial"/>
          <w:spacing w:val="-6"/>
        </w:rPr>
        <w:t> </w:t>
      </w:r>
      <w:r>
        <w:rPr>
          <w:rFonts w:ascii="Arial" w:hAnsi="Arial"/>
        </w:rPr>
        <w:t>to</w:t>
      </w:r>
      <w:r>
        <w:rPr>
          <w:rFonts w:ascii="Arial" w:hAnsi="Arial"/>
          <w:spacing w:val="-5"/>
        </w:rPr>
        <w:t> </w:t>
      </w:r>
      <w:r>
        <w:rPr>
          <w:rFonts w:ascii="Arial" w:hAnsi="Arial"/>
        </w:rPr>
        <w:t>the</w:t>
      </w:r>
      <w:r>
        <w:rPr>
          <w:rFonts w:ascii="Arial" w:hAnsi="Arial"/>
          <w:spacing w:val="-2"/>
        </w:rPr>
        <w:t> </w:t>
      </w:r>
      <w:r>
        <w:rPr>
          <w:rFonts w:ascii="Arial" w:hAnsi="Arial"/>
        </w:rPr>
        <w:t>proportions</w:t>
      </w:r>
      <w:r>
        <w:rPr>
          <w:rFonts w:ascii="Arial" w:hAnsi="Arial"/>
          <w:spacing w:val="-4"/>
        </w:rPr>
        <w:t> </w:t>
      </w:r>
      <w:r>
        <w:rPr>
          <w:rFonts w:ascii="Arial" w:hAnsi="Arial"/>
        </w:rPr>
        <w:t>seen</w:t>
      </w:r>
      <w:r>
        <w:rPr>
          <w:rFonts w:ascii="Arial" w:hAnsi="Arial"/>
          <w:spacing w:val="-5"/>
        </w:rPr>
        <w:t> </w:t>
      </w:r>
      <w:r>
        <w:rPr>
          <w:rFonts w:ascii="Arial" w:hAnsi="Arial"/>
        </w:rPr>
        <w:t>in</w:t>
      </w:r>
      <w:r>
        <w:rPr>
          <w:rFonts w:ascii="Arial" w:hAnsi="Arial"/>
          <w:spacing w:val="-7"/>
        </w:rPr>
        <w:t> </w:t>
      </w:r>
      <w:r>
        <w:rPr>
          <w:rFonts w:ascii="Arial" w:hAnsi="Arial"/>
        </w:rPr>
        <w:t>the</w:t>
      </w:r>
      <w:r>
        <w:rPr>
          <w:rFonts w:ascii="Arial" w:hAnsi="Arial"/>
          <w:spacing w:val="-5"/>
        </w:rPr>
        <w:t> </w:t>
      </w:r>
      <w:r>
        <w:rPr>
          <w:rFonts w:ascii="Arial" w:hAnsi="Arial"/>
        </w:rPr>
        <w:t>database. The outputs for these criteria look like this:</w:t>
      </w:r>
    </w:p>
    <w:p>
      <w:pPr>
        <w:pStyle w:val="BodyText"/>
        <w:spacing w:before="27"/>
        <w:rPr>
          <w:rFonts w:ascii="Arial"/>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1419"/>
        <w:gridCol w:w="1527"/>
      </w:tblGrid>
      <w:tr>
        <w:trPr>
          <w:trHeight w:val="304" w:hRule="atLeast"/>
        </w:trPr>
        <w:tc>
          <w:tcPr>
            <w:tcW w:w="4815" w:type="dxa"/>
          </w:tcPr>
          <w:p>
            <w:pPr>
              <w:pStyle w:val="TableParagraph"/>
              <w:spacing w:line="240" w:lineRule="auto"/>
              <w:rPr>
                <w:b/>
                <w:sz w:val="22"/>
              </w:rPr>
            </w:pPr>
            <w:r>
              <w:rPr>
                <w:b/>
                <w:spacing w:val="-2"/>
                <w:sz w:val="22"/>
              </w:rPr>
              <w:t>Tenure</w:t>
            </w:r>
          </w:p>
        </w:tc>
        <w:tc>
          <w:tcPr>
            <w:tcW w:w="1419" w:type="dxa"/>
          </w:tcPr>
          <w:p>
            <w:pPr>
              <w:pStyle w:val="TableParagraph"/>
              <w:spacing w:line="240" w:lineRule="auto"/>
              <w:rPr>
                <w:sz w:val="22"/>
              </w:rPr>
            </w:pPr>
            <w:r>
              <w:rPr>
                <w:sz w:val="22"/>
              </w:rPr>
              <w:t>Q4</w:t>
            </w:r>
            <w:r>
              <w:rPr>
                <w:spacing w:val="-6"/>
                <w:sz w:val="22"/>
              </w:rPr>
              <w:t> </w:t>
            </w:r>
            <w:r>
              <w:rPr>
                <w:spacing w:val="-2"/>
                <w:sz w:val="22"/>
              </w:rPr>
              <w:t>Sample</w:t>
            </w:r>
          </w:p>
        </w:tc>
        <w:tc>
          <w:tcPr>
            <w:tcW w:w="1527" w:type="dxa"/>
          </w:tcPr>
          <w:p>
            <w:pPr>
              <w:pStyle w:val="TableParagraph"/>
              <w:spacing w:line="240" w:lineRule="auto"/>
              <w:rPr>
                <w:sz w:val="22"/>
              </w:rPr>
            </w:pPr>
            <w:r>
              <w:rPr>
                <w:spacing w:val="-2"/>
                <w:sz w:val="22"/>
              </w:rPr>
              <w:t>Database</w:t>
            </w:r>
          </w:p>
        </w:tc>
      </w:tr>
      <w:tr>
        <w:trPr>
          <w:trHeight w:val="304" w:hRule="atLeast"/>
        </w:trPr>
        <w:tc>
          <w:tcPr>
            <w:tcW w:w="4815" w:type="dxa"/>
          </w:tcPr>
          <w:p>
            <w:pPr>
              <w:pStyle w:val="TableParagraph"/>
              <w:spacing w:before="48"/>
              <w:rPr>
                <w:sz w:val="22"/>
              </w:rPr>
            </w:pPr>
            <w:r>
              <w:rPr>
                <w:spacing w:val="-2"/>
                <w:sz w:val="22"/>
              </w:rPr>
              <w:t>General</w:t>
            </w:r>
            <w:r>
              <w:rPr>
                <w:spacing w:val="-6"/>
                <w:sz w:val="22"/>
              </w:rPr>
              <w:t> </w:t>
            </w:r>
            <w:r>
              <w:rPr>
                <w:spacing w:val="-2"/>
                <w:sz w:val="22"/>
              </w:rPr>
              <w:t>Needs</w:t>
            </w:r>
            <w:r>
              <w:rPr>
                <w:spacing w:val="-6"/>
                <w:sz w:val="22"/>
              </w:rPr>
              <w:t> </w:t>
            </w:r>
            <w:r>
              <w:rPr>
                <w:spacing w:val="-4"/>
                <w:sz w:val="22"/>
              </w:rPr>
              <w:t>(884)</w:t>
            </w:r>
          </w:p>
        </w:tc>
        <w:tc>
          <w:tcPr>
            <w:tcW w:w="1419" w:type="dxa"/>
          </w:tcPr>
          <w:p>
            <w:pPr>
              <w:pStyle w:val="TableParagraph"/>
              <w:spacing w:before="48"/>
              <w:rPr>
                <w:sz w:val="22"/>
              </w:rPr>
            </w:pPr>
            <w:r>
              <w:rPr>
                <w:spacing w:val="-2"/>
                <w:sz w:val="22"/>
              </w:rPr>
              <w:t>82.8%</w:t>
            </w:r>
          </w:p>
        </w:tc>
        <w:tc>
          <w:tcPr>
            <w:tcW w:w="1527" w:type="dxa"/>
          </w:tcPr>
          <w:p>
            <w:pPr>
              <w:pStyle w:val="TableParagraph"/>
              <w:spacing w:before="48"/>
              <w:rPr>
                <w:sz w:val="22"/>
              </w:rPr>
            </w:pPr>
            <w:r>
              <w:rPr>
                <w:spacing w:val="-4"/>
                <w:sz w:val="22"/>
              </w:rPr>
              <w:t>83.1%</w:t>
            </w:r>
          </w:p>
        </w:tc>
      </w:tr>
      <w:tr>
        <w:trPr>
          <w:trHeight w:val="304" w:hRule="atLeast"/>
        </w:trPr>
        <w:tc>
          <w:tcPr>
            <w:tcW w:w="4815" w:type="dxa"/>
          </w:tcPr>
          <w:p>
            <w:pPr>
              <w:pStyle w:val="TableParagraph"/>
              <w:spacing w:before="48"/>
              <w:rPr>
                <w:sz w:val="22"/>
              </w:rPr>
            </w:pPr>
            <w:r>
              <w:rPr>
                <w:sz w:val="22"/>
              </w:rPr>
              <w:t>Sheltered</w:t>
            </w:r>
            <w:r>
              <w:rPr>
                <w:spacing w:val="-4"/>
                <w:sz w:val="22"/>
              </w:rPr>
              <w:t> </w:t>
            </w:r>
            <w:r>
              <w:rPr>
                <w:spacing w:val="-2"/>
                <w:sz w:val="22"/>
              </w:rPr>
              <w:t>(167)</w:t>
            </w:r>
          </w:p>
        </w:tc>
        <w:tc>
          <w:tcPr>
            <w:tcW w:w="1419" w:type="dxa"/>
          </w:tcPr>
          <w:p>
            <w:pPr>
              <w:pStyle w:val="TableParagraph"/>
              <w:spacing w:before="48"/>
              <w:rPr>
                <w:sz w:val="22"/>
              </w:rPr>
            </w:pPr>
            <w:r>
              <w:rPr>
                <w:spacing w:val="-2"/>
                <w:sz w:val="22"/>
              </w:rPr>
              <w:t>15.6%</w:t>
            </w:r>
          </w:p>
        </w:tc>
        <w:tc>
          <w:tcPr>
            <w:tcW w:w="1527" w:type="dxa"/>
          </w:tcPr>
          <w:p>
            <w:pPr>
              <w:pStyle w:val="TableParagraph"/>
              <w:spacing w:before="48"/>
              <w:rPr>
                <w:sz w:val="22"/>
              </w:rPr>
            </w:pPr>
            <w:r>
              <w:rPr>
                <w:spacing w:val="-4"/>
                <w:sz w:val="22"/>
              </w:rPr>
              <w:t>14.7%</w:t>
            </w:r>
          </w:p>
        </w:tc>
      </w:tr>
      <w:tr>
        <w:trPr>
          <w:trHeight w:val="304" w:hRule="atLeast"/>
        </w:trPr>
        <w:tc>
          <w:tcPr>
            <w:tcW w:w="4815" w:type="dxa"/>
          </w:tcPr>
          <w:p>
            <w:pPr>
              <w:pStyle w:val="TableParagraph"/>
              <w:spacing w:before="48"/>
              <w:rPr>
                <w:sz w:val="22"/>
              </w:rPr>
            </w:pPr>
            <w:r>
              <w:rPr>
                <w:sz w:val="22"/>
              </w:rPr>
              <w:t>Independent</w:t>
            </w:r>
            <w:r>
              <w:rPr>
                <w:spacing w:val="-12"/>
                <w:sz w:val="22"/>
              </w:rPr>
              <w:t> </w:t>
            </w:r>
            <w:r>
              <w:rPr>
                <w:sz w:val="22"/>
              </w:rPr>
              <w:t>Lives</w:t>
            </w:r>
            <w:r>
              <w:rPr>
                <w:spacing w:val="-12"/>
                <w:sz w:val="22"/>
              </w:rPr>
              <w:t> </w:t>
            </w:r>
            <w:r>
              <w:rPr>
                <w:spacing w:val="-4"/>
                <w:sz w:val="22"/>
              </w:rPr>
              <w:t>(17)</w:t>
            </w:r>
          </w:p>
        </w:tc>
        <w:tc>
          <w:tcPr>
            <w:tcW w:w="1419" w:type="dxa"/>
          </w:tcPr>
          <w:p>
            <w:pPr>
              <w:pStyle w:val="TableParagraph"/>
              <w:spacing w:before="48"/>
              <w:rPr>
                <w:sz w:val="22"/>
              </w:rPr>
            </w:pPr>
            <w:r>
              <w:rPr>
                <w:spacing w:val="-4"/>
                <w:sz w:val="22"/>
              </w:rPr>
              <w:t>1.6%</w:t>
            </w:r>
          </w:p>
        </w:tc>
        <w:tc>
          <w:tcPr>
            <w:tcW w:w="1527" w:type="dxa"/>
          </w:tcPr>
          <w:p>
            <w:pPr>
              <w:pStyle w:val="TableParagraph"/>
              <w:spacing w:before="48"/>
              <w:rPr>
                <w:sz w:val="22"/>
              </w:rPr>
            </w:pPr>
            <w:r>
              <w:rPr>
                <w:spacing w:val="-4"/>
                <w:sz w:val="22"/>
              </w:rPr>
              <w:t>2.2%</w:t>
            </w:r>
          </w:p>
        </w:tc>
      </w:tr>
    </w:tbl>
    <w:p>
      <w:pPr>
        <w:pStyle w:val="BodyText"/>
        <w:spacing w:before="38"/>
        <w:rPr>
          <w:rFonts w:ascii="Arial"/>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1419"/>
        <w:gridCol w:w="1517"/>
      </w:tblGrid>
      <w:tr>
        <w:trPr>
          <w:trHeight w:val="266" w:hRule="atLeast"/>
        </w:trPr>
        <w:tc>
          <w:tcPr>
            <w:tcW w:w="4815" w:type="dxa"/>
          </w:tcPr>
          <w:p>
            <w:pPr>
              <w:pStyle w:val="TableParagraph"/>
              <w:rPr>
                <w:b/>
                <w:sz w:val="22"/>
              </w:rPr>
            </w:pPr>
            <w:r>
              <w:rPr>
                <w:b/>
                <w:spacing w:val="-5"/>
                <w:sz w:val="22"/>
              </w:rPr>
              <w:t>Age</w:t>
            </w:r>
          </w:p>
        </w:tc>
        <w:tc>
          <w:tcPr>
            <w:tcW w:w="1419" w:type="dxa"/>
          </w:tcPr>
          <w:p>
            <w:pPr>
              <w:pStyle w:val="TableParagraph"/>
              <w:rPr>
                <w:sz w:val="22"/>
              </w:rPr>
            </w:pPr>
            <w:r>
              <w:rPr>
                <w:sz w:val="22"/>
              </w:rPr>
              <w:t>Q4</w:t>
            </w:r>
            <w:r>
              <w:rPr>
                <w:spacing w:val="-6"/>
                <w:sz w:val="22"/>
              </w:rPr>
              <w:t> </w:t>
            </w:r>
            <w:r>
              <w:rPr>
                <w:spacing w:val="-2"/>
                <w:sz w:val="22"/>
              </w:rPr>
              <w:t>Sample</w:t>
            </w:r>
          </w:p>
        </w:tc>
        <w:tc>
          <w:tcPr>
            <w:tcW w:w="1517" w:type="dxa"/>
          </w:tcPr>
          <w:p>
            <w:pPr>
              <w:pStyle w:val="TableParagraph"/>
              <w:rPr>
                <w:sz w:val="22"/>
              </w:rPr>
            </w:pPr>
            <w:r>
              <w:rPr>
                <w:spacing w:val="-2"/>
                <w:sz w:val="22"/>
              </w:rPr>
              <w:t>Database</w:t>
            </w:r>
          </w:p>
        </w:tc>
      </w:tr>
      <w:tr>
        <w:trPr>
          <w:trHeight w:val="268" w:hRule="atLeast"/>
        </w:trPr>
        <w:tc>
          <w:tcPr>
            <w:tcW w:w="4815" w:type="dxa"/>
          </w:tcPr>
          <w:p>
            <w:pPr>
              <w:pStyle w:val="TableParagraph"/>
              <w:spacing w:before="12"/>
              <w:rPr>
                <w:sz w:val="22"/>
              </w:rPr>
            </w:pPr>
            <w:r>
              <w:rPr>
                <w:sz w:val="22"/>
              </w:rPr>
              <w:t>16-24</w:t>
            </w:r>
            <w:r>
              <w:rPr>
                <w:spacing w:val="-7"/>
                <w:sz w:val="22"/>
              </w:rPr>
              <w:t> </w:t>
            </w:r>
            <w:r>
              <w:rPr>
                <w:spacing w:val="-4"/>
                <w:sz w:val="22"/>
              </w:rPr>
              <w:t>(30)</w:t>
            </w:r>
          </w:p>
        </w:tc>
        <w:tc>
          <w:tcPr>
            <w:tcW w:w="1419" w:type="dxa"/>
          </w:tcPr>
          <w:p>
            <w:pPr>
              <w:pStyle w:val="TableParagraph"/>
              <w:spacing w:before="12"/>
              <w:rPr>
                <w:sz w:val="22"/>
              </w:rPr>
            </w:pPr>
            <w:r>
              <w:rPr>
                <w:spacing w:val="-4"/>
                <w:sz w:val="22"/>
              </w:rPr>
              <w:t>2.8%</w:t>
            </w:r>
          </w:p>
        </w:tc>
        <w:tc>
          <w:tcPr>
            <w:tcW w:w="1517" w:type="dxa"/>
          </w:tcPr>
          <w:p>
            <w:pPr>
              <w:pStyle w:val="TableParagraph"/>
              <w:spacing w:line="239" w:lineRule="exact"/>
              <w:rPr>
                <w:sz w:val="22"/>
              </w:rPr>
            </w:pPr>
            <w:r>
              <w:rPr>
                <w:spacing w:val="-4"/>
                <w:sz w:val="22"/>
              </w:rPr>
              <w:t>3.2%</w:t>
            </w:r>
          </w:p>
        </w:tc>
      </w:tr>
      <w:tr>
        <w:trPr>
          <w:trHeight w:val="268" w:hRule="atLeast"/>
        </w:trPr>
        <w:tc>
          <w:tcPr>
            <w:tcW w:w="4815" w:type="dxa"/>
          </w:tcPr>
          <w:p>
            <w:pPr>
              <w:pStyle w:val="TableParagraph"/>
              <w:spacing w:before="12"/>
              <w:rPr>
                <w:sz w:val="22"/>
              </w:rPr>
            </w:pPr>
            <w:r>
              <w:rPr>
                <w:sz w:val="22"/>
              </w:rPr>
              <w:t>25-34</w:t>
            </w:r>
            <w:r>
              <w:rPr>
                <w:spacing w:val="-5"/>
                <w:sz w:val="22"/>
              </w:rPr>
              <w:t> </w:t>
            </w:r>
            <w:r>
              <w:rPr>
                <w:spacing w:val="-2"/>
                <w:sz w:val="22"/>
              </w:rPr>
              <w:t>(158)</w:t>
            </w:r>
          </w:p>
        </w:tc>
        <w:tc>
          <w:tcPr>
            <w:tcW w:w="1419" w:type="dxa"/>
          </w:tcPr>
          <w:p>
            <w:pPr>
              <w:pStyle w:val="TableParagraph"/>
              <w:spacing w:before="12"/>
              <w:rPr>
                <w:sz w:val="22"/>
              </w:rPr>
            </w:pPr>
            <w:r>
              <w:rPr>
                <w:spacing w:val="-4"/>
                <w:sz w:val="22"/>
              </w:rPr>
              <w:t>14.8%</w:t>
            </w:r>
          </w:p>
        </w:tc>
        <w:tc>
          <w:tcPr>
            <w:tcW w:w="1517" w:type="dxa"/>
          </w:tcPr>
          <w:p>
            <w:pPr>
              <w:pStyle w:val="TableParagraph"/>
              <w:spacing w:line="239" w:lineRule="exact"/>
              <w:rPr>
                <w:sz w:val="22"/>
              </w:rPr>
            </w:pPr>
            <w:r>
              <w:rPr>
                <w:spacing w:val="-4"/>
                <w:sz w:val="22"/>
              </w:rPr>
              <w:t>14.5%</w:t>
            </w:r>
          </w:p>
        </w:tc>
      </w:tr>
      <w:tr>
        <w:trPr>
          <w:trHeight w:val="268" w:hRule="atLeast"/>
        </w:trPr>
        <w:tc>
          <w:tcPr>
            <w:tcW w:w="4815" w:type="dxa"/>
          </w:tcPr>
          <w:p>
            <w:pPr>
              <w:pStyle w:val="TableParagraph"/>
              <w:spacing w:before="12"/>
              <w:rPr>
                <w:sz w:val="22"/>
              </w:rPr>
            </w:pPr>
            <w:r>
              <w:rPr>
                <w:sz w:val="22"/>
              </w:rPr>
              <w:t>35-44</w:t>
            </w:r>
            <w:r>
              <w:rPr>
                <w:spacing w:val="-5"/>
                <w:sz w:val="22"/>
              </w:rPr>
              <w:t> </w:t>
            </w:r>
            <w:r>
              <w:rPr>
                <w:spacing w:val="-2"/>
                <w:sz w:val="22"/>
              </w:rPr>
              <w:t>(201)</w:t>
            </w:r>
          </w:p>
        </w:tc>
        <w:tc>
          <w:tcPr>
            <w:tcW w:w="1419" w:type="dxa"/>
          </w:tcPr>
          <w:p>
            <w:pPr>
              <w:pStyle w:val="TableParagraph"/>
              <w:spacing w:before="12"/>
              <w:rPr>
                <w:sz w:val="22"/>
              </w:rPr>
            </w:pPr>
            <w:r>
              <w:rPr>
                <w:spacing w:val="-4"/>
                <w:sz w:val="22"/>
              </w:rPr>
              <w:t>18.8%</w:t>
            </w:r>
          </w:p>
        </w:tc>
        <w:tc>
          <w:tcPr>
            <w:tcW w:w="1517" w:type="dxa"/>
          </w:tcPr>
          <w:p>
            <w:pPr>
              <w:pStyle w:val="TableParagraph"/>
              <w:spacing w:line="239" w:lineRule="exact"/>
              <w:rPr>
                <w:sz w:val="22"/>
              </w:rPr>
            </w:pPr>
            <w:r>
              <w:rPr>
                <w:spacing w:val="-4"/>
                <w:sz w:val="22"/>
              </w:rPr>
              <w:t>18.9%</w:t>
            </w:r>
          </w:p>
        </w:tc>
      </w:tr>
      <w:tr>
        <w:trPr>
          <w:trHeight w:val="268" w:hRule="atLeast"/>
        </w:trPr>
        <w:tc>
          <w:tcPr>
            <w:tcW w:w="4815" w:type="dxa"/>
          </w:tcPr>
          <w:p>
            <w:pPr>
              <w:pStyle w:val="TableParagraph"/>
              <w:spacing w:before="12"/>
              <w:rPr>
                <w:sz w:val="22"/>
              </w:rPr>
            </w:pPr>
            <w:r>
              <w:rPr>
                <w:sz w:val="22"/>
              </w:rPr>
              <w:t>45-54</w:t>
            </w:r>
            <w:r>
              <w:rPr>
                <w:spacing w:val="-5"/>
                <w:sz w:val="22"/>
              </w:rPr>
              <w:t> </w:t>
            </w:r>
            <w:r>
              <w:rPr>
                <w:spacing w:val="-2"/>
                <w:sz w:val="22"/>
              </w:rPr>
              <w:t>(190)</w:t>
            </w:r>
          </w:p>
        </w:tc>
        <w:tc>
          <w:tcPr>
            <w:tcW w:w="1419" w:type="dxa"/>
          </w:tcPr>
          <w:p>
            <w:pPr>
              <w:pStyle w:val="TableParagraph"/>
              <w:spacing w:before="12"/>
              <w:rPr>
                <w:sz w:val="22"/>
              </w:rPr>
            </w:pPr>
            <w:r>
              <w:rPr>
                <w:spacing w:val="-4"/>
                <w:sz w:val="22"/>
              </w:rPr>
              <w:t>17.8%</w:t>
            </w:r>
          </w:p>
        </w:tc>
        <w:tc>
          <w:tcPr>
            <w:tcW w:w="1517" w:type="dxa"/>
          </w:tcPr>
          <w:p>
            <w:pPr>
              <w:pStyle w:val="TableParagraph"/>
              <w:spacing w:line="239" w:lineRule="exact"/>
              <w:rPr>
                <w:sz w:val="22"/>
              </w:rPr>
            </w:pPr>
            <w:r>
              <w:rPr>
                <w:spacing w:val="-4"/>
                <w:sz w:val="22"/>
              </w:rPr>
              <w:t>18.5%</w:t>
            </w:r>
          </w:p>
        </w:tc>
      </w:tr>
      <w:tr>
        <w:trPr>
          <w:trHeight w:val="268" w:hRule="atLeast"/>
        </w:trPr>
        <w:tc>
          <w:tcPr>
            <w:tcW w:w="4815" w:type="dxa"/>
          </w:tcPr>
          <w:p>
            <w:pPr>
              <w:pStyle w:val="TableParagraph"/>
              <w:spacing w:before="12"/>
              <w:rPr>
                <w:sz w:val="22"/>
              </w:rPr>
            </w:pPr>
            <w:r>
              <w:rPr>
                <w:sz w:val="22"/>
              </w:rPr>
              <w:t>55-64</w:t>
            </w:r>
            <w:r>
              <w:rPr>
                <w:spacing w:val="-5"/>
                <w:sz w:val="22"/>
              </w:rPr>
              <w:t> </w:t>
            </w:r>
            <w:r>
              <w:rPr>
                <w:spacing w:val="-2"/>
                <w:sz w:val="22"/>
              </w:rPr>
              <w:t>(214)</w:t>
            </w:r>
          </w:p>
        </w:tc>
        <w:tc>
          <w:tcPr>
            <w:tcW w:w="1419" w:type="dxa"/>
          </w:tcPr>
          <w:p>
            <w:pPr>
              <w:pStyle w:val="TableParagraph"/>
              <w:spacing w:before="12"/>
              <w:rPr>
                <w:sz w:val="22"/>
              </w:rPr>
            </w:pPr>
            <w:r>
              <w:rPr>
                <w:spacing w:val="-4"/>
                <w:sz w:val="22"/>
              </w:rPr>
              <w:t>20.0%</w:t>
            </w:r>
          </w:p>
        </w:tc>
        <w:tc>
          <w:tcPr>
            <w:tcW w:w="1517" w:type="dxa"/>
          </w:tcPr>
          <w:p>
            <w:pPr>
              <w:pStyle w:val="TableParagraph"/>
              <w:spacing w:line="239" w:lineRule="exact"/>
              <w:rPr>
                <w:sz w:val="22"/>
              </w:rPr>
            </w:pPr>
            <w:r>
              <w:rPr>
                <w:spacing w:val="-4"/>
                <w:sz w:val="22"/>
              </w:rPr>
              <w:t>19.9%</w:t>
            </w:r>
          </w:p>
        </w:tc>
      </w:tr>
      <w:tr>
        <w:trPr>
          <w:trHeight w:val="266" w:hRule="atLeast"/>
        </w:trPr>
        <w:tc>
          <w:tcPr>
            <w:tcW w:w="4815" w:type="dxa"/>
          </w:tcPr>
          <w:p>
            <w:pPr>
              <w:pStyle w:val="TableParagraph"/>
              <w:rPr>
                <w:sz w:val="22"/>
              </w:rPr>
            </w:pPr>
            <w:r>
              <w:rPr>
                <w:sz w:val="22"/>
              </w:rPr>
              <w:t>65+</w:t>
            </w:r>
            <w:r>
              <w:rPr>
                <w:spacing w:val="-5"/>
                <w:sz w:val="22"/>
              </w:rPr>
              <w:t> </w:t>
            </w:r>
            <w:r>
              <w:rPr>
                <w:spacing w:val="-2"/>
                <w:sz w:val="22"/>
              </w:rPr>
              <w:t>(271)</w:t>
            </w:r>
          </w:p>
        </w:tc>
        <w:tc>
          <w:tcPr>
            <w:tcW w:w="1419" w:type="dxa"/>
          </w:tcPr>
          <w:p>
            <w:pPr>
              <w:pStyle w:val="TableParagraph"/>
              <w:rPr>
                <w:sz w:val="22"/>
              </w:rPr>
            </w:pPr>
            <w:r>
              <w:rPr>
                <w:spacing w:val="-4"/>
                <w:sz w:val="22"/>
              </w:rPr>
              <w:t>25.4%</w:t>
            </w:r>
          </w:p>
        </w:tc>
        <w:tc>
          <w:tcPr>
            <w:tcW w:w="1517" w:type="dxa"/>
          </w:tcPr>
          <w:p>
            <w:pPr>
              <w:pStyle w:val="TableParagraph"/>
              <w:rPr>
                <w:sz w:val="22"/>
              </w:rPr>
            </w:pPr>
            <w:r>
              <w:rPr>
                <w:spacing w:val="-4"/>
                <w:sz w:val="22"/>
              </w:rPr>
              <w:t>24.5%</w:t>
            </w:r>
          </w:p>
        </w:tc>
      </w:tr>
      <w:tr>
        <w:trPr>
          <w:trHeight w:val="268" w:hRule="atLeast"/>
        </w:trPr>
        <w:tc>
          <w:tcPr>
            <w:tcW w:w="4815" w:type="dxa"/>
          </w:tcPr>
          <w:p>
            <w:pPr>
              <w:pStyle w:val="TableParagraph"/>
              <w:spacing w:before="12"/>
              <w:rPr>
                <w:sz w:val="22"/>
              </w:rPr>
            </w:pPr>
            <w:r>
              <w:rPr>
                <w:sz w:val="22"/>
              </w:rPr>
              <w:t>Unknown</w:t>
            </w:r>
            <w:r>
              <w:rPr>
                <w:spacing w:val="-15"/>
                <w:sz w:val="22"/>
              </w:rPr>
              <w:t> </w:t>
            </w:r>
            <w:r>
              <w:rPr>
                <w:spacing w:val="-5"/>
                <w:sz w:val="22"/>
              </w:rPr>
              <w:t>(4)</w:t>
            </w:r>
          </w:p>
        </w:tc>
        <w:tc>
          <w:tcPr>
            <w:tcW w:w="1419" w:type="dxa"/>
          </w:tcPr>
          <w:p>
            <w:pPr>
              <w:pStyle w:val="TableParagraph"/>
              <w:spacing w:before="12"/>
              <w:rPr>
                <w:sz w:val="22"/>
              </w:rPr>
            </w:pPr>
            <w:r>
              <w:rPr>
                <w:spacing w:val="-4"/>
                <w:sz w:val="22"/>
              </w:rPr>
              <w:t>0.4%</w:t>
            </w:r>
          </w:p>
        </w:tc>
        <w:tc>
          <w:tcPr>
            <w:tcW w:w="1517" w:type="dxa"/>
          </w:tcPr>
          <w:p>
            <w:pPr>
              <w:pStyle w:val="TableParagraph"/>
              <w:spacing w:line="239" w:lineRule="exact"/>
              <w:rPr>
                <w:sz w:val="22"/>
              </w:rPr>
            </w:pPr>
            <w:r>
              <w:rPr>
                <w:spacing w:val="-4"/>
                <w:sz w:val="22"/>
              </w:rPr>
              <w:t>0.5%</w:t>
            </w:r>
          </w:p>
        </w:tc>
      </w:tr>
    </w:tbl>
    <w:p>
      <w:pPr>
        <w:pStyle w:val="BodyText"/>
        <w:spacing w:before="38"/>
        <w:rPr>
          <w:rFonts w:ascii="Arial"/>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1438"/>
        <w:gridCol w:w="1507"/>
      </w:tblGrid>
      <w:tr>
        <w:trPr>
          <w:trHeight w:val="290" w:hRule="atLeast"/>
        </w:trPr>
        <w:tc>
          <w:tcPr>
            <w:tcW w:w="4815" w:type="dxa"/>
          </w:tcPr>
          <w:p>
            <w:pPr>
              <w:pStyle w:val="TableParagraph"/>
              <w:spacing w:line="240" w:lineRule="auto"/>
              <w:rPr>
                <w:b/>
                <w:sz w:val="22"/>
              </w:rPr>
            </w:pPr>
            <w:r>
              <w:rPr>
                <w:b/>
                <w:spacing w:val="-2"/>
                <w:sz w:val="22"/>
              </w:rPr>
              <w:t>Ethnicity</w:t>
            </w:r>
          </w:p>
        </w:tc>
        <w:tc>
          <w:tcPr>
            <w:tcW w:w="1438" w:type="dxa"/>
          </w:tcPr>
          <w:p>
            <w:pPr>
              <w:pStyle w:val="TableParagraph"/>
              <w:spacing w:line="240" w:lineRule="auto"/>
              <w:rPr>
                <w:sz w:val="22"/>
              </w:rPr>
            </w:pPr>
            <w:r>
              <w:rPr>
                <w:sz w:val="22"/>
              </w:rPr>
              <w:t>Q4</w:t>
            </w:r>
            <w:r>
              <w:rPr>
                <w:spacing w:val="-6"/>
                <w:sz w:val="22"/>
              </w:rPr>
              <w:t> </w:t>
            </w:r>
            <w:r>
              <w:rPr>
                <w:spacing w:val="-2"/>
                <w:sz w:val="22"/>
              </w:rPr>
              <w:t>Sample</w:t>
            </w:r>
          </w:p>
        </w:tc>
        <w:tc>
          <w:tcPr>
            <w:tcW w:w="1507" w:type="dxa"/>
          </w:tcPr>
          <w:p>
            <w:pPr>
              <w:pStyle w:val="TableParagraph"/>
              <w:spacing w:line="240" w:lineRule="auto"/>
              <w:rPr>
                <w:sz w:val="22"/>
              </w:rPr>
            </w:pPr>
            <w:r>
              <w:rPr>
                <w:spacing w:val="-2"/>
                <w:sz w:val="22"/>
              </w:rPr>
              <w:t>Database</w:t>
            </w:r>
          </w:p>
        </w:tc>
      </w:tr>
      <w:tr>
        <w:trPr>
          <w:trHeight w:val="287" w:hRule="atLeast"/>
        </w:trPr>
        <w:tc>
          <w:tcPr>
            <w:tcW w:w="4815" w:type="dxa"/>
          </w:tcPr>
          <w:p>
            <w:pPr>
              <w:pStyle w:val="TableParagraph"/>
              <w:spacing w:before="31"/>
              <w:rPr>
                <w:sz w:val="22"/>
              </w:rPr>
            </w:pPr>
            <w:r>
              <w:rPr>
                <w:sz w:val="22"/>
              </w:rPr>
              <w:t>White</w:t>
            </w:r>
            <w:r>
              <w:rPr>
                <w:spacing w:val="-14"/>
                <w:sz w:val="22"/>
              </w:rPr>
              <w:t> </w:t>
            </w:r>
            <w:r>
              <w:rPr>
                <w:spacing w:val="-2"/>
                <w:sz w:val="22"/>
              </w:rPr>
              <w:t>(823)</w:t>
            </w:r>
          </w:p>
        </w:tc>
        <w:tc>
          <w:tcPr>
            <w:tcW w:w="1438" w:type="dxa"/>
          </w:tcPr>
          <w:p>
            <w:pPr>
              <w:pStyle w:val="TableParagraph"/>
              <w:spacing w:before="31"/>
              <w:rPr>
                <w:sz w:val="22"/>
              </w:rPr>
            </w:pPr>
            <w:r>
              <w:rPr>
                <w:spacing w:val="-2"/>
                <w:sz w:val="22"/>
              </w:rPr>
              <w:t>77.1%</w:t>
            </w:r>
          </w:p>
        </w:tc>
        <w:tc>
          <w:tcPr>
            <w:tcW w:w="1507" w:type="dxa"/>
          </w:tcPr>
          <w:p>
            <w:pPr>
              <w:pStyle w:val="TableParagraph"/>
              <w:spacing w:before="31"/>
              <w:rPr>
                <w:sz w:val="22"/>
              </w:rPr>
            </w:pPr>
            <w:r>
              <w:rPr>
                <w:spacing w:val="-4"/>
                <w:sz w:val="22"/>
              </w:rPr>
              <w:t>76.0%</w:t>
            </w:r>
          </w:p>
        </w:tc>
      </w:tr>
      <w:tr>
        <w:trPr>
          <w:trHeight w:val="290" w:hRule="atLeast"/>
        </w:trPr>
        <w:tc>
          <w:tcPr>
            <w:tcW w:w="4815" w:type="dxa"/>
          </w:tcPr>
          <w:p>
            <w:pPr>
              <w:pStyle w:val="TableParagraph"/>
              <w:spacing w:before="33"/>
              <w:rPr>
                <w:sz w:val="22"/>
              </w:rPr>
            </w:pPr>
            <w:r>
              <w:rPr>
                <w:sz w:val="22"/>
              </w:rPr>
              <w:t>Unknown</w:t>
            </w:r>
            <w:r>
              <w:rPr>
                <w:spacing w:val="-15"/>
                <w:sz w:val="22"/>
              </w:rPr>
              <w:t> </w:t>
            </w:r>
            <w:r>
              <w:rPr>
                <w:spacing w:val="-2"/>
                <w:sz w:val="22"/>
              </w:rPr>
              <w:t>(161)</w:t>
            </w:r>
          </w:p>
        </w:tc>
        <w:tc>
          <w:tcPr>
            <w:tcW w:w="1438" w:type="dxa"/>
          </w:tcPr>
          <w:p>
            <w:pPr>
              <w:pStyle w:val="TableParagraph"/>
              <w:spacing w:before="33"/>
              <w:rPr>
                <w:sz w:val="22"/>
              </w:rPr>
            </w:pPr>
            <w:r>
              <w:rPr>
                <w:spacing w:val="-2"/>
                <w:sz w:val="22"/>
              </w:rPr>
              <w:t>15.1%</w:t>
            </w:r>
          </w:p>
        </w:tc>
        <w:tc>
          <w:tcPr>
            <w:tcW w:w="1507" w:type="dxa"/>
          </w:tcPr>
          <w:p>
            <w:pPr>
              <w:pStyle w:val="TableParagraph"/>
              <w:spacing w:before="33"/>
              <w:rPr>
                <w:sz w:val="22"/>
              </w:rPr>
            </w:pPr>
            <w:r>
              <w:rPr>
                <w:spacing w:val="-4"/>
                <w:sz w:val="22"/>
              </w:rPr>
              <w:t>17.9%</w:t>
            </w:r>
          </w:p>
        </w:tc>
      </w:tr>
      <w:tr>
        <w:trPr>
          <w:trHeight w:val="290" w:hRule="atLeast"/>
        </w:trPr>
        <w:tc>
          <w:tcPr>
            <w:tcW w:w="4815" w:type="dxa"/>
          </w:tcPr>
          <w:p>
            <w:pPr>
              <w:pStyle w:val="TableParagraph"/>
              <w:spacing w:before="34"/>
              <w:rPr>
                <w:sz w:val="22"/>
              </w:rPr>
            </w:pPr>
            <w:r>
              <w:rPr>
                <w:sz w:val="22"/>
              </w:rPr>
              <w:t>Black,</w:t>
            </w:r>
            <w:r>
              <w:rPr>
                <w:spacing w:val="-8"/>
                <w:sz w:val="22"/>
              </w:rPr>
              <w:t> </w:t>
            </w:r>
            <w:r>
              <w:rPr>
                <w:sz w:val="22"/>
              </w:rPr>
              <w:t>Black</w:t>
            </w:r>
            <w:r>
              <w:rPr>
                <w:spacing w:val="-8"/>
                <w:sz w:val="22"/>
              </w:rPr>
              <w:t> </w:t>
            </w:r>
            <w:r>
              <w:rPr>
                <w:sz w:val="22"/>
              </w:rPr>
              <w:t>British,</w:t>
            </w:r>
            <w:r>
              <w:rPr>
                <w:spacing w:val="-7"/>
                <w:sz w:val="22"/>
              </w:rPr>
              <w:t> </w:t>
            </w:r>
            <w:r>
              <w:rPr>
                <w:sz w:val="22"/>
              </w:rPr>
              <w:t>Caribbean</w:t>
            </w:r>
            <w:r>
              <w:rPr>
                <w:spacing w:val="-8"/>
                <w:sz w:val="22"/>
              </w:rPr>
              <w:t> </w:t>
            </w:r>
            <w:r>
              <w:rPr>
                <w:sz w:val="22"/>
              </w:rPr>
              <w:t>or</w:t>
            </w:r>
            <w:r>
              <w:rPr>
                <w:spacing w:val="-8"/>
                <w:sz w:val="22"/>
              </w:rPr>
              <w:t> </w:t>
            </w:r>
            <w:r>
              <w:rPr>
                <w:sz w:val="22"/>
              </w:rPr>
              <w:t>African</w:t>
            </w:r>
            <w:r>
              <w:rPr>
                <w:spacing w:val="-10"/>
                <w:sz w:val="22"/>
              </w:rPr>
              <w:t> </w:t>
            </w:r>
            <w:r>
              <w:rPr>
                <w:spacing w:val="-4"/>
                <w:sz w:val="22"/>
              </w:rPr>
              <w:t>(38)</w:t>
            </w:r>
          </w:p>
        </w:tc>
        <w:tc>
          <w:tcPr>
            <w:tcW w:w="1438" w:type="dxa"/>
          </w:tcPr>
          <w:p>
            <w:pPr>
              <w:pStyle w:val="TableParagraph"/>
              <w:spacing w:before="34"/>
              <w:rPr>
                <w:sz w:val="22"/>
              </w:rPr>
            </w:pPr>
            <w:r>
              <w:rPr>
                <w:spacing w:val="-4"/>
                <w:sz w:val="22"/>
              </w:rPr>
              <w:t>3.6%</w:t>
            </w:r>
          </w:p>
        </w:tc>
        <w:tc>
          <w:tcPr>
            <w:tcW w:w="1507" w:type="dxa"/>
          </w:tcPr>
          <w:p>
            <w:pPr>
              <w:pStyle w:val="TableParagraph"/>
              <w:spacing w:before="34"/>
              <w:rPr>
                <w:sz w:val="22"/>
              </w:rPr>
            </w:pPr>
            <w:r>
              <w:rPr>
                <w:spacing w:val="-4"/>
                <w:sz w:val="22"/>
              </w:rPr>
              <w:t>2.3%</w:t>
            </w:r>
          </w:p>
        </w:tc>
      </w:tr>
      <w:tr>
        <w:trPr>
          <w:trHeight w:val="287" w:hRule="atLeast"/>
        </w:trPr>
        <w:tc>
          <w:tcPr>
            <w:tcW w:w="4815" w:type="dxa"/>
          </w:tcPr>
          <w:p>
            <w:pPr>
              <w:pStyle w:val="TableParagraph"/>
              <w:spacing w:before="31"/>
              <w:rPr>
                <w:sz w:val="22"/>
              </w:rPr>
            </w:pPr>
            <w:r>
              <w:rPr>
                <w:sz w:val="22"/>
              </w:rPr>
              <w:t>Mixed or multiple</w:t>
            </w:r>
            <w:r>
              <w:rPr>
                <w:spacing w:val="-2"/>
                <w:sz w:val="22"/>
              </w:rPr>
              <w:t> </w:t>
            </w:r>
            <w:r>
              <w:rPr>
                <w:sz w:val="22"/>
              </w:rPr>
              <w:t>ethnic</w:t>
            </w:r>
            <w:r>
              <w:rPr>
                <w:spacing w:val="-1"/>
                <w:sz w:val="22"/>
              </w:rPr>
              <w:t> </w:t>
            </w:r>
            <w:r>
              <w:rPr>
                <w:sz w:val="22"/>
              </w:rPr>
              <w:t>groups</w:t>
            </w:r>
            <w:r>
              <w:rPr>
                <w:spacing w:val="1"/>
                <w:sz w:val="22"/>
              </w:rPr>
              <w:t> </w:t>
            </w:r>
            <w:r>
              <w:rPr>
                <w:spacing w:val="-4"/>
                <w:sz w:val="22"/>
              </w:rPr>
              <w:t>(21)</w:t>
            </w:r>
          </w:p>
        </w:tc>
        <w:tc>
          <w:tcPr>
            <w:tcW w:w="1438" w:type="dxa"/>
          </w:tcPr>
          <w:p>
            <w:pPr>
              <w:pStyle w:val="TableParagraph"/>
              <w:spacing w:before="31"/>
              <w:rPr>
                <w:sz w:val="22"/>
              </w:rPr>
            </w:pPr>
            <w:r>
              <w:rPr>
                <w:spacing w:val="-4"/>
                <w:sz w:val="22"/>
              </w:rPr>
              <w:t>2.0%</w:t>
            </w:r>
          </w:p>
        </w:tc>
        <w:tc>
          <w:tcPr>
            <w:tcW w:w="1507" w:type="dxa"/>
          </w:tcPr>
          <w:p>
            <w:pPr>
              <w:pStyle w:val="TableParagraph"/>
              <w:spacing w:before="31"/>
              <w:rPr>
                <w:sz w:val="22"/>
              </w:rPr>
            </w:pPr>
            <w:r>
              <w:rPr>
                <w:spacing w:val="-4"/>
                <w:sz w:val="22"/>
              </w:rPr>
              <w:t>1.9%</w:t>
            </w:r>
          </w:p>
        </w:tc>
      </w:tr>
      <w:tr>
        <w:trPr>
          <w:trHeight w:val="290" w:hRule="atLeast"/>
        </w:trPr>
        <w:tc>
          <w:tcPr>
            <w:tcW w:w="4815" w:type="dxa"/>
          </w:tcPr>
          <w:p>
            <w:pPr>
              <w:pStyle w:val="TableParagraph"/>
              <w:spacing w:before="33"/>
              <w:rPr>
                <w:sz w:val="22"/>
              </w:rPr>
            </w:pPr>
            <w:r>
              <w:rPr>
                <w:sz w:val="22"/>
              </w:rPr>
              <w:t>Other</w:t>
            </w:r>
            <w:r>
              <w:rPr>
                <w:spacing w:val="3"/>
                <w:sz w:val="22"/>
              </w:rPr>
              <w:t> </w:t>
            </w:r>
            <w:r>
              <w:rPr>
                <w:sz w:val="22"/>
              </w:rPr>
              <w:t>ethnic</w:t>
            </w:r>
            <w:r>
              <w:rPr>
                <w:spacing w:val="3"/>
                <w:sz w:val="22"/>
              </w:rPr>
              <w:t> </w:t>
            </w:r>
            <w:r>
              <w:rPr>
                <w:sz w:val="22"/>
              </w:rPr>
              <w:t>group</w:t>
            </w:r>
            <w:r>
              <w:rPr>
                <w:spacing w:val="4"/>
                <w:sz w:val="22"/>
              </w:rPr>
              <w:t> </w:t>
            </w:r>
            <w:r>
              <w:rPr>
                <w:spacing w:val="-4"/>
                <w:sz w:val="22"/>
              </w:rPr>
              <w:t>(16)</w:t>
            </w:r>
          </w:p>
        </w:tc>
        <w:tc>
          <w:tcPr>
            <w:tcW w:w="1438" w:type="dxa"/>
          </w:tcPr>
          <w:p>
            <w:pPr>
              <w:pStyle w:val="TableParagraph"/>
              <w:spacing w:before="33"/>
              <w:rPr>
                <w:sz w:val="22"/>
              </w:rPr>
            </w:pPr>
            <w:r>
              <w:rPr>
                <w:spacing w:val="-4"/>
                <w:sz w:val="22"/>
              </w:rPr>
              <w:t>1.5%</w:t>
            </w:r>
          </w:p>
        </w:tc>
        <w:tc>
          <w:tcPr>
            <w:tcW w:w="1507" w:type="dxa"/>
          </w:tcPr>
          <w:p>
            <w:pPr>
              <w:pStyle w:val="TableParagraph"/>
              <w:spacing w:before="33"/>
              <w:rPr>
                <w:sz w:val="22"/>
              </w:rPr>
            </w:pPr>
            <w:r>
              <w:rPr>
                <w:spacing w:val="-4"/>
                <w:sz w:val="22"/>
              </w:rPr>
              <w:t>0.9%</w:t>
            </w:r>
          </w:p>
        </w:tc>
      </w:tr>
      <w:tr>
        <w:trPr>
          <w:trHeight w:val="290" w:hRule="atLeast"/>
        </w:trPr>
        <w:tc>
          <w:tcPr>
            <w:tcW w:w="4815" w:type="dxa"/>
          </w:tcPr>
          <w:p>
            <w:pPr>
              <w:pStyle w:val="TableParagraph"/>
              <w:spacing w:line="239" w:lineRule="exact" w:before="31"/>
              <w:rPr>
                <w:sz w:val="22"/>
              </w:rPr>
            </w:pPr>
            <w:r>
              <w:rPr>
                <w:sz w:val="22"/>
              </w:rPr>
              <w:t>Asian</w:t>
            </w:r>
            <w:r>
              <w:rPr>
                <w:spacing w:val="-10"/>
                <w:sz w:val="22"/>
              </w:rPr>
              <w:t> </w:t>
            </w:r>
            <w:r>
              <w:rPr>
                <w:sz w:val="22"/>
              </w:rPr>
              <w:t>or</w:t>
            </w:r>
            <w:r>
              <w:rPr>
                <w:spacing w:val="-8"/>
                <w:sz w:val="22"/>
              </w:rPr>
              <w:t> </w:t>
            </w:r>
            <w:r>
              <w:rPr>
                <w:sz w:val="22"/>
              </w:rPr>
              <w:t>Asian</w:t>
            </w:r>
            <w:r>
              <w:rPr>
                <w:spacing w:val="-8"/>
                <w:sz w:val="22"/>
              </w:rPr>
              <w:t> </w:t>
            </w:r>
            <w:r>
              <w:rPr>
                <w:sz w:val="22"/>
              </w:rPr>
              <w:t>British</w:t>
            </w:r>
            <w:r>
              <w:rPr>
                <w:spacing w:val="-9"/>
                <w:sz w:val="22"/>
              </w:rPr>
              <w:t> </w:t>
            </w:r>
            <w:r>
              <w:rPr>
                <w:spacing w:val="-5"/>
                <w:sz w:val="22"/>
              </w:rPr>
              <w:t>(9)</w:t>
            </w:r>
          </w:p>
        </w:tc>
        <w:tc>
          <w:tcPr>
            <w:tcW w:w="1438" w:type="dxa"/>
          </w:tcPr>
          <w:p>
            <w:pPr>
              <w:pStyle w:val="TableParagraph"/>
              <w:spacing w:line="239" w:lineRule="exact" w:before="31"/>
              <w:rPr>
                <w:sz w:val="22"/>
              </w:rPr>
            </w:pPr>
            <w:r>
              <w:rPr>
                <w:spacing w:val="-4"/>
                <w:sz w:val="22"/>
              </w:rPr>
              <w:t>0.8%</w:t>
            </w:r>
          </w:p>
        </w:tc>
        <w:tc>
          <w:tcPr>
            <w:tcW w:w="1507" w:type="dxa"/>
          </w:tcPr>
          <w:p>
            <w:pPr>
              <w:pStyle w:val="TableParagraph"/>
              <w:spacing w:line="239" w:lineRule="exact" w:before="31"/>
              <w:rPr>
                <w:sz w:val="22"/>
              </w:rPr>
            </w:pPr>
            <w:r>
              <w:rPr>
                <w:spacing w:val="-4"/>
                <w:sz w:val="22"/>
              </w:rPr>
              <w:t>1.0%</w:t>
            </w:r>
          </w:p>
        </w:tc>
      </w:tr>
    </w:tbl>
    <w:p>
      <w:pPr>
        <w:pStyle w:val="BodyText"/>
        <w:spacing w:before="22"/>
        <w:rPr>
          <w:rFonts w:ascii="Arial"/>
        </w:rPr>
      </w:pPr>
    </w:p>
    <w:p>
      <w:pPr>
        <w:pStyle w:val="BodyText"/>
        <w:spacing w:line="252" w:lineRule="auto"/>
        <w:ind w:left="23" w:right="262"/>
        <w:rPr>
          <w:rFonts w:ascii="Arial"/>
        </w:rPr>
      </w:pPr>
      <w:r>
        <w:rPr>
          <w:rFonts w:ascii="Arial"/>
        </w:rPr>
        <w:t>We</w:t>
      </w:r>
      <w:r>
        <w:rPr>
          <w:rFonts w:ascii="Arial"/>
          <w:spacing w:val="-6"/>
        </w:rPr>
        <w:t> </w:t>
      </w:r>
      <w:r>
        <w:rPr>
          <w:rFonts w:ascii="Arial"/>
        </w:rPr>
        <w:t>can</w:t>
      </w:r>
      <w:r>
        <w:rPr>
          <w:rFonts w:ascii="Arial"/>
          <w:spacing w:val="-5"/>
        </w:rPr>
        <w:t> </w:t>
      </w:r>
      <w:r>
        <w:rPr>
          <w:rFonts w:ascii="Arial"/>
        </w:rPr>
        <w:t>also</w:t>
      </w:r>
      <w:r>
        <w:rPr>
          <w:rFonts w:ascii="Arial"/>
          <w:spacing w:val="-4"/>
        </w:rPr>
        <w:t> </w:t>
      </w:r>
      <w:r>
        <w:rPr>
          <w:rFonts w:ascii="Arial"/>
        </w:rPr>
        <w:t>compare</w:t>
      </w:r>
      <w:r>
        <w:rPr>
          <w:rFonts w:ascii="Arial"/>
          <w:spacing w:val="-6"/>
        </w:rPr>
        <w:t> </w:t>
      </w:r>
      <w:r>
        <w:rPr>
          <w:rFonts w:ascii="Arial"/>
        </w:rPr>
        <w:t>representativeness</w:t>
      </w:r>
      <w:r>
        <w:rPr>
          <w:rFonts w:ascii="Arial"/>
          <w:spacing w:val="-4"/>
        </w:rPr>
        <w:t> </w:t>
      </w:r>
      <w:r>
        <w:rPr>
          <w:rFonts w:ascii="Arial"/>
        </w:rPr>
        <w:t>across</w:t>
      </w:r>
      <w:r>
        <w:rPr>
          <w:rFonts w:ascii="Arial"/>
          <w:spacing w:val="-6"/>
        </w:rPr>
        <w:t> </w:t>
      </w:r>
      <w:r>
        <w:rPr>
          <w:rFonts w:ascii="Arial"/>
        </w:rPr>
        <w:t>the</w:t>
      </w:r>
      <w:r>
        <w:rPr>
          <w:rFonts w:ascii="Arial"/>
          <w:spacing w:val="-5"/>
        </w:rPr>
        <w:t> </w:t>
      </w:r>
      <w:r>
        <w:rPr>
          <w:rFonts w:ascii="Arial"/>
        </w:rPr>
        <w:t>following</w:t>
      </w:r>
      <w:r>
        <w:rPr>
          <w:rFonts w:ascii="Arial"/>
          <w:spacing w:val="-5"/>
        </w:rPr>
        <w:t> </w:t>
      </w:r>
      <w:r>
        <w:rPr>
          <w:rFonts w:ascii="Arial"/>
        </w:rPr>
        <w:t>criteria</w:t>
      </w:r>
      <w:r>
        <w:rPr>
          <w:rFonts w:ascii="Arial"/>
          <w:spacing w:val="-3"/>
        </w:rPr>
        <w:t> </w:t>
      </w:r>
      <w:r>
        <w:rPr>
          <w:rFonts w:ascii="Arial"/>
        </w:rPr>
        <w:t>-</w:t>
      </w:r>
      <w:r>
        <w:rPr>
          <w:rFonts w:ascii="Arial"/>
          <w:spacing w:val="-4"/>
        </w:rPr>
        <w:t> </w:t>
      </w:r>
      <w:r>
        <w:rPr>
          <w:rFonts w:ascii="Arial"/>
        </w:rPr>
        <w:t>building</w:t>
      </w:r>
      <w:r>
        <w:rPr>
          <w:rFonts w:ascii="Arial"/>
          <w:spacing w:val="-5"/>
        </w:rPr>
        <w:t> </w:t>
      </w:r>
      <w:r>
        <w:rPr>
          <w:rFonts w:ascii="Arial"/>
        </w:rPr>
        <w:t>type, property size, local authority:</w:t>
      </w:r>
    </w:p>
    <w:p>
      <w:pPr>
        <w:pStyle w:val="BodyText"/>
        <w:spacing w:after="0" w:line="252" w:lineRule="auto"/>
        <w:rPr>
          <w:rFonts w:ascii="Arial"/>
        </w:rPr>
        <w:sectPr>
          <w:footerReference w:type="default" r:id="rId6"/>
          <w:pgSz w:w="11910" w:h="16840"/>
          <w:pgMar w:header="0" w:footer="913" w:top="1340" w:bottom="1100" w:left="1417" w:right="1275"/>
        </w:sect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1560"/>
        <w:gridCol w:w="1774"/>
      </w:tblGrid>
      <w:tr>
        <w:trPr>
          <w:trHeight w:val="306" w:hRule="atLeast"/>
        </w:trPr>
        <w:tc>
          <w:tcPr>
            <w:tcW w:w="4673" w:type="dxa"/>
          </w:tcPr>
          <w:p>
            <w:pPr>
              <w:pStyle w:val="TableParagraph"/>
              <w:spacing w:line="240" w:lineRule="auto"/>
              <w:rPr>
                <w:b/>
                <w:sz w:val="22"/>
              </w:rPr>
            </w:pPr>
            <w:r>
              <w:rPr>
                <w:b/>
                <w:spacing w:val="-2"/>
                <w:sz w:val="22"/>
              </w:rPr>
              <w:t>Building</w:t>
            </w:r>
            <w:r>
              <w:rPr>
                <w:b/>
                <w:spacing w:val="-12"/>
                <w:sz w:val="22"/>
              </w:rPr>
              <w:t> </w:t>
            </w:r>
            <w:r>
              <w:rPr>
                <w:b/>
                <w:spacing w:val="-4"/>
                <w:sz w:val="22"/>
              </w:rPr>
              <w:t>Type</w:t>
            </w:r>
          </w:p>
        </w:tc>
        <w:tc>
          <w:tcPr>
            <w:tcW w:w="1560" w:type="dxa"/>
          </w:tcPr>
          <w:p>
            <w:pPr>
              <w:pStyle w:val="TableParagraph"/>
              <w:spacing w:line="240" w:lineRule="auto"/>
              <w:ind w:left="108"/>
              <w:rPr>
                <w:sz w:val="22"/>
              </w:rPr>
            </w:pPr>
            <w:r>
              <w:rPr>
                <w:sz w:val="22"/>
              </w:rPr>
              <w:t>Q4</w:t>
            </w:r>
            <w:r>
              <w:rPr>
                <w:spacing w:val="-6"/>
                <w:sz w:val="22"/>
              </w:rPr>
              <w:t> </w:t>
            </w:r>
            <w:r>
              <w:rPr>
                <w:spacing w:val="-2"/>
                <w:sz w:val="22"/>
              </w:rPr>
              <w:t>Sample</w:t>
            </w:r>
          </w:p>
        </w:tc>
        <w:tc>
          <w:tcPr>
            <w:tcW w:w="1774" w:type="dxa"/>
          </w:tcPr>
          <w:p>
            <w:pPr>
              <w:pStyle w:val="TableParagraph"/>
              <w:spacing w:line="240" w:lineRule="auto"/>
              <w:ind w:left="108"/>
              <w:rPr>
                <w:sz w:val="22"/>
              </w:rPr>
            </w:pPr>
            <w:r>
              <w:rPr>
                <w:spacing w:val="-2"/>
                <w:sz w:val="22"/>
              </w:rPr>
              <w:t>Database</w:t>
            </w:r>
          </w:p>
        </w:tc>
      </w:tr>
      <w:tr>
        <w:trPr>
          <w:trHeight w:val="309" w:hRule="atLeast"/>
        </w:trPr>
        <w:tc>
          <w:tcPr>
            <w:tcW w:w="4673" w:type="dxa"/>
          </w:tcPr>
          <w:p>
            <w:pPr>
              <w:pStyle w:val="TableParagraph"/>
              <w:spacing w:before="53"/>
              <w:rPr>
                <w:sz w:val="22"/>
              </w:rPr>
            </w:pPr>
            <w:r>
              <w:rPr>
                <w:spacing w:val="-2"/>
                <w:sz w:val="22"/>
              </w:rPr>
              <w:t>Flat</w:t>
            </w:r>
            <w:r>
              <w:rPr>
                <w:spacing w:val="-9"/>
                <w:sz w:val="22"/>
              </w:rPr>
              <w:t> </w:t>
            </w:r>
            <w:r>
              <w:rPr>
                <w:spacing w:val="-2"/>
                <w:sz w:val="22"/>
              </w:rPr>
              <w:t>(473)</w:t>
            </w:r>
          </w:p>
        </w:tc>
        <w:tc>
          <w:tcPr>
            <w:tcW w:w="1560" w:type="dxa"/>
          </w:tcPr>
          <w:p>
            <w:pPr>
              <w:pStyle w:val="TableParagraph"/>
              <w:spacing w:before="53"/>
              <w:ind w:left="108"/>
              <w:rPr>
                <w:sz w:val="22"/>
              </w:rPr>
            </w:pPr>
            <w:r>
              <w:rPr>
                <w:spacing w:val="-2"/>
                <w:sz w:val="22"/>
              </w:rPr>
              <w:t>44.3%</w:t>
            </w:r>
          </w:p>
        </w:tc>
        <w:tc>
          <w:tcPr>
            <w:tcW w:w="1774" w:type="dxa"/>
          </w:tcPr>
          <w:p>
            <w:pPr>
              <w:pStyle w:val="TableParagraph"/>
              <w:spacing w:before="53"/>
              <w:ind w:left="108"/>
              <w:rPr>
                <w:sz w:val="22"/>
              </w:rPr>
            </w:pPr>
            <w:r>
              <w:rPr>
                <w:spacing w:val="-4"/>
                <w:sz w:val="22"/>
              </w:rPr>
              <w:t>39.9%</w:t>
            </w:r>
          </w:p>
        </w:tc>
      </w:tr>
      <w:tr>
        <w:trPr>
          <w:trHeight w:val="306" w:hRule="atLeast"/>
        </w:trPr>
        <w:tc>
          <w:tcPr>
            <w:tcW w:w="4673" w:type="dxa"/>
          </w:tcPr>
          <w:p>
            <w:pPr>
              <w:pStyle w:val="TableParagraph"/>
              <w:spacing w:before="50"/>
              <w:rPr>
                <w:sz w:val="22"/>
              </w:rPr>
            </w:pPr>
            <w:r>
              <w:rPr>
                <w:spacing w:val="-2"/>
                <w:sz w:val="22"/>
              </w:rPr>
              <w:t>House</w:t>
            </w:r>
            <w:r>
              <w:rPr>
                <w:spacing w:val="-7"/>
                <w:sz w:val="22"/>
              </w:rPr>
              <w:t> </w:t>
            </w:r>
            <w:r>
              <w:rPr>
                <w:spacing w:val="-2"/>
                <w:sz w:val="22"/>
              </w:rPr>
              <w:t>(416)</w:t>
            </w:r>
          </w:p>
        </w:tc>
        <w:tc>
          <w:tcPr>
            <w:tcW w:w="1560" w:type="dxa"/>
          </w:tcPr>
          <w:p>
            <w:pPr>
              <w:pStyle w:val="TableParagraph"/>
              <w:spacing w:before="50"/>
              <w:ind w:left="108"/>
              <w:rPr>
                <w:sz w:val="22"/>
              </w:rPr>
            </w:pPr>
            <w:r>
              <w:rPr>
                <w:spacing w:val="-2"/>
                <w:sz w:val="22"/>
              </w:rPr>
              <w:t>39.0%</w:t>
            </w:r>
          </w:p>
        </w:tc>
        <w:tc>
          <w:tcPr>
            <w:tcW w:w="1774" w:type="dxa"/>
          </w:tcPr>
          <w:p>
            <w:pPr>
              <w:pStyle w:val="TableParagraph"/>
              <w:spacing w:before="50"/>
              <w:ind w:left="108"/>
              <w:rPr>
                <w:sz w:val="22"/>
              </w:rPr>
            </w:pPr>
            <w:r>
              <w:rPr>
                <w:spacing w:val="-4"/>
                <w:sz w:val="22"/>
              </w:rPr>
              <w:t>42.5%</w:t>
            </w:r>
          </w:p>
        </w:tc>
      </w:tr>
      <w:tr>
        <w:trPr>
          <w:trHeight w:val="309" w:hRule="atLeast"/>
        </w:trPr>
        <w:tc>
          <w:tcPr>
            <w:tcW w:w="4673" w:type="dxa"/>
          </w:tcPr>
          <w:p>
            <w:pPr>
              <w:pStyle w:val="TableParagraph"/>
              <w:spacing w:before="52"/>
              <w:rPr>
                <w:sz w:val="22"/>
              </w:rPr>
            </w:pPr>
            <w:r>
              <w:rPr>
                <w:spacing w:val="-2"/>
                <w:sz w:val="22"/>
              </w:rPr>
              <w:t>Bungalow</w:t>
            </w:r>
            <w:r>
              <w:rPr>
                <w:spacing w:val="-1"/>
                <w:sz w:val="22"/>
              </w:rPr>
              <w:t> </w:t>
            </w:r>
            <w:r>
              <w:rPr>
                <w:spacing w:val="-2"/>
                <w:sz w:val="22"/>
              </w:rPr>
              <w:t>(117)</w:t>
            </w:r>
          </w:p>
        </w:tc>
        <w:tc>
          <w:tcPr>
            <w:tcW w:w="1560" w:type="dxa"/>
          </w:tcPr>
          <w:p>
            <w:pPr>
              <w:pStyle w:val="TableParagraph"/>
              <w:spacing w:before="52"/>
              <w:ind w:left="108"/>
              <w:rPr>
                <w:sz w:val="22"/>
              </w:rPr>
            </w:pPr>
            <w:r>
              <w:rPr>
                <w:spacing w:val="-2"/>
                <w:sz w:val="22"/>
              </w:rPr>
              <w:t>11.0%</w:t>
            </w:r>
          </w:p>
        </w:tc>
        <w:tc>
          <w:tcPr>
            <w:tcW w:w="1774" w:type="dxa"/>
          </w:tcPr>
          <w:p>
            <w:pPr>
              <w:pStyle w:val="TableParagraph"/>
              <w:spacing w:before="52"/>
              <w:ind w:left="108"/>
              <w:rPr>
                <w:sz w:val="22"/>
              </w:rPr>
            </w:pPr>
            <w:r>
              <w:rPr>
                <w:spacing w:val="-4"/>
                <w:sz w:val="22"/>
              </w:rPr>
              <w:t>10.9%</w:t>
            </w:r>
          </w:p>
        </w:tc>
      </w:tr>
      <w:tr>
        <w:trPr>
          <w:trHeight w:val="306" w:hRule="atLeast"/>
        </w:trPr>
        <w:tc>
          <w:tcPr>
            <w:tcW w:w="4673" w:type="dxa"/>
          </w:tcPr>
          <w:p>
            <w:pPr>
              <w:pStyle w:val="TableParagraph"/>
              <w:spacing w:before="50"/>
              <w:rPr>
                <w:sz w:val="22"/>
              </w:rPr>
            </w:pPr>
            <w:r>
              <w:rPr>
                <w:spacing w:val="-2"/>
                <w:sz w:val="22"/>
              </w:rPr>
              <w:t>Maisonette</w:t>
            </w:r>
            <w:r>
              <w:rPr>
                <w:spacing w:val="-5"/>
                <w:sz w:val="22"/>
              </w:rPr>
              <w:t> </w:t>
            </w:r>
            <w:r>
              <w:rPr>
                <w:spacing w:val="-4"/>
                <w:sz w:val="22"/>
              </w:rPr>
              <w:t>(39)</w:t>
            </w:r>
          </w:p>
        </w:tc>
        <w:tc>
          <w:tcPr>
            <w:tcW w:w="1560" w:type="dxa"/>
          </w:tcPr>
          <w:p>
            <w:pPr>
              <w:pStyle w:val="TableParagraph"/>
              <w:spacing w:before="50"/>
              <w:ind w:left="108"/>
              <w:rPr>
                <w:sz w:val="22"/>
              </w:rPr>
            </w:pPr>
            <w:r>
              <w:rPr>
                <w:spacing w:val="-4"/>
                <w:sz w:val="22"/>
              </w:rPr>
              <w:t>3.7%</w:t>
            </w:r>
          </w:p>
        </w:tc>
        <w:tc>
          <w:tcPr>
            <w:tcW w:w="1774" w:type="dxa"/>
          </w:tcPr>
          <w:p>
            <w:pPr>
              <w:pStyle w:val="TableParagraph"/>
              <w:spacing w:before="50"/>
              <w:ind w:left="108"/>
              <w:rPr>
                <w:sz w:val="22"/>
              </w:rPr>
            </w:pPr>
            <w:r>
              <w:rPr>
                <w:spacing w:val="-4"/>
                <w:sz w:val="22"/>
              </w:rPr>
              <w:t>3.7%</w:t>
            </w:r>
          </w:p>
        </w:tc>
      </w:tr>
      <w:tr>
        <w:trPr>
          <w:trHeight w:val="309" w:hRule="atLeast"/>
        </w:trPr>
        <w:tc>
          <w:tcPr>
            <w:tcW w:w="4673" w:type="dxa"/>
          </w:tcPr>
          <w:p>
            <w:pPr>
              <w:pStyle w:val="TableParagraph"/>
              <w:spacing w:before="52"/>
              <w:rPr>
                <w:sz w:val="22"/>
              </w:rPr>
            </w:pPr>
            <w:r>
              <w:rPr>
                <w:sz w:val="22"/>
              </w:rPr>
              <w:t>Other </w:t>
            </w:r>
            <w:r>
              <w:rPr>
                <w:spacing w:val="-4"/>
                <w:sz w:val="22"/>
              </w:rPr>
              <w:t>(23)</w:t>
            </w:r>
          </w:p>
        </w:tc>
        <w:tc>
          <w:tcPr>
            <w:tcW w:w="1560" w:type="dxa"/>
          </w:tcPr>
          <w:p>
            <w:pPr>
              <w:pStyle w:val="TableParagraph"/>
              <w:spacing w:before="52"/>
              <w:ind w:left="108"/>
              <w:rPr>
                <w:sz w:val="22"/>
              </w:rPr>
            </w:pPr>
            <w:r>
              <w:rPr>
                <w:spacing w:val="-4"/>
                <w:sz w:val="22"/>
              </w:rPr>
              <w:t>2.2%</w:t>
            </w:r>
          </w:p>
        </w:tc>
        <w:tc>
          <w:tcPr>
            <w:tcW w:w="1774" w:type="dxa"/>
          </w:tcPr>
          <w:p>
            <w:pPr>
              <w:pStyle w:val="TableParagraph"/>
              <w:spacing w:before="52"/>
              <w:ind w:left="108"/>
              <w:rPr>
                <w:sz w:val="22"/>
              </w:rPr>
            </w:pPr>
            <w:r>
              <w:rPr>
                <w:spacing w:val="-4"/>
                <w:sz w:val="22"/>
              </w:rPr>
              <w:t>3.0%</w:t>
            </w:r>
          </w:p>
        </w:tc>
      </w:tr>
    </w:tbl>
    <w:p>
      <w:pPr>
        <w:pStyle w:val="BodyText"/>
        <w:spacing w:before="61"/>
        <w:rPr>
          <w:rFonts w:ascii="Arial"/>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7"/>
        <w:gridCol w:w="1479"/>
        <w:gridCol w:w="1818"/>
      </w:tblGrid>
      <w:tr>
        <w:trPr>
          <w:trHeight w:val="297" w:hRule="atLeast"/>
        </w:trPr>
        <w:tc>
          <w:tcPr>
            <w:tcW w:w="4707" w:type="dxa"/>
          </w:tcPr>
          <w:p>
            <w:pPr>
              <w:pStyle w:val="TableParagraph"/>
              <w:spacing w:line="240" w:lineRule="auto"/>
              <w:rPr>
                <w:b/>
                <w:sz w:val="22"/>
              </w:rPr>
            </w:pPr>
            <w:r>
              <w:rPr>
                <w:b/>
                <w:spacing w:val="-4"/>
                <w:sz w:val="22"/>
              </w:rPr>
              <w:t>Local</w:t>
            </w:r>
            <w:r>
              <w:rPr>
                <w:b/>
                <w:spacing w:val="-9"/>
                <w:sz w:val="22"/>
              </w:rPr>
              <w:t> </w:t>
            </w:r>
            <w:r>
              <w:rPr>
                <w:b/>
                <w:spacing w:val="-2"/>
                <w:sz w:val="22"/>
              </w:rPr>
              <w:t>Authority</w:t>
            </w:r>
          </w:p>
        </w:tc>
        <w:tc>
          <w:tcPr>
            <w:tcW w:w="1479" w:type="dxa"/>
          </w:tcPr>
          <w:p>
            <w:pPr>
              <w:pStyle w:val="TableParagraph"/>
              <w:spacing w:line="240" w:lineRule="auto"/>
              <w:rPr>
                <w:sz w:val="22"/>
              </w:rPr>
            </w:pPr>
            <w:r>
              <w:rPr>
                <w:sz w:val="22"/>
              </w:rPr>
              <w:t>Q4</w:t>
            </w:r>
            <w:r>
              <w:rPr>
                <w:spacing w:val="-6"/>
                <w:sz w:val="22"/>
              </w:rPr>
              <w:t> </w:t>
            </w:r>
            <w:r>
              <w:rPr>
                <w:spacing w:val="-2"/>
                <w:sz w:val="22"/>
              </w:rPr>
              <w:t>Sample</w:t>
            </w:r>
          </w:p>
        </w:tc>
        <w:tc>
          <w:tcPr>
            <w:tcW w:w="1818" w:type="dxa"/>
          </w:tcPr>
          <w:p>
            <w:pPr>
              <w:pStyle w:val="TableParagraph"/>
              <w:spacing w:line="240" w:lineRule="auto"/>
              <w:rPr>
                <w:sz w:val="22"/>
              </w:rPr>
            </w:pPr>
            <w:r>
              <w:rPr>
                <w:spacing w:val="-2"/>
                <w:sz w:val="22"/>
              </w:rPr>
              <w:t>Database</w:t>
            </w:r>
          </w:p>
        </w:tc>
      </w:tr>
      <w:tr>
        <w:trPr>
          <w:trHeight w:val="297" w:hRule="atLeast"/>
        </w:trPr>
        <w:tc>
          <w:tcPr>
            <w:tcW w:w="4707" w:type="dxa"/>
          </w:tcPr>
          <w:p>
            <w:pPr>
              <w:pStyle w:val="TableParagraph"/>
              <w:spacing w:before="40"/>
              <w:rPr>
                <w:sz w:val="22"/>
              </w:rPr>
            </w:pPr>
            <w:r>
              <w:rPr>
                <w:sz w:val="22"/>
              </w:rPr>
              <w:t>Bath</w:t>
            </w:r>
            <w:r>
              <w:rPr>
                <w:spacing w:val="-10"/>
                <w:sz w:val="22"/>
              </w:rPr>
              <w:t> </w:t>
            </w:r>
            <w:r>
              <w:rPr>
                <w:sz w:val="22"/>
              </w:rPr>
              <w:t>&amp;</w:t>
            </w:r>
            <w:r>
              <w:rPr>
                <w:spacing w:val="-10"/>
                <w:sz w:val="22"/>
              </w:rPr>
              <w:t> </w:t>
            </w:r>
            <w:r>
              <w:rPr>
                <w:sz w:val="22"/>
              </w:rPr>
              <w:t>North</w:t>
            </w:r>
            <w:r>
              <w:rPr>
                <w:spacing w:val="-10"/>
                <w:sz w:val="22"/>
              </w:rPr>
              <w:t> </w:t>
            </w:r>
            <w:r>
              <w:rPr>
                <w:sz w:val="22"/>
              </w:rPr>
              <w:t>East</w:t>
            </w:r>
            <w:r>
              <w:rPr>
                <w:spacing w:val="-9"/>
                <w:sz w:val="22"/>
              </w:rPr>
              <w:t> </w:t>
            </w:r>
            <w:r>
              <w:rPr>
                <w:sz w:val="22"/>
              </w:rPr>
              <w:t>Somerset</w:t>
            </w:r>
            <w:r>
              <w:rPr>
                <w:spacing w:val="-10"/>
                <w:sz w:val="22"/>
              </w:rPr>
              <w:t> </w:t>
            </w:r>
            <w:r>
              <w:rPr>
                <w:spacing w:val="-4"/>
                <w:sz w:val="22"/>
              </w:rPr>
              <w:t>(789)</w:t>
            </w:r>
          </w:p>
        </w:tc>
        <w:tc>
          <w:tcPr>
            <w:tcW w:w="1479" w:type="dxa"/>
          </w:tcPr>
          <w:p>
            <w:pPr>
              <w:pStyle w:val="TableParagraph"/>
              <w:spacing w:before="40"/>
              <w:rPr>
                <w:sz w:val="22"/>
              </w:rPr>
            </w:pPr>
            <w:r>
              <w:rPr>
                <w:spacing w:val="-2"/>
                <w:sz w:val="22"/>
              </w:rPr>
              <w:t>73.9%</w:t>
            </w:r>
          </w:p>
        </w:tc>
        <w:tc>
          <w:tcPr>
            <w:tcW w:w="1818" w:type="dxa"/>
          </w:tcPr>
          <w:p>
            <w:pPr>
              <w:pStyle w:val="TableParagraph"/>
              <w:spacing w:before="40"/>
              <w:rPr>
                <w:sz w:val="22"/>
              </w:rPr>
            </w:pPr>
            <w:r>
              <w:rPr>
                <w:spacing w:val="-4"/>
                <w:sz w:val="22"/>
              </w:rPr>
              <w:t>77.5%</w:t>
            </w:r>
          </w:p>
        </w:tc>
      </w:tr>
      <w:tr>
        <w:trPr>
          <w:trHeight w:val="297" w:hRule="atLeast"/>
        </w:trPr>
        <w:tc>
          <w:tcPr>
            <w:tcW w:w="4707" w:type="dxa"/>
          </w:tcPr>
          <w:p>
            <w:pPr>
              <w:pStyle w:val="TableParagraph"/>
              <w:spacing w:before="40"/>
              <w:rPr>
                <w:sz w:val="22"/>
              </w:rPr>
            </w:pPr>
            <w:r>
              <w:rPr>
                <w:sz w:val="22"/>
              </w:rPr>
              <w:t>Bristol</w:t>
            </w:r>
            <w:r>
              <w:rPr>
                <w:spacing w:val="-7"/>
                <w:sz w:val="22"/>
              </w:rPr>
              <w:t> </w:t>
            </w:r>
            <w:r>
              <w:rPr>
                <w:spacing w:val="-2"/>
                <w:sz w:val="22"/>
              </w:rPr>
              <w:t>(105)</w:t>
            </w:r>
          </w:p>
        </w:tc>
        <w:tc>
          <w:tcPr>
            <w:tcW w:w="1479" w:type="dxa"/>
          </w:tcPr>
          <w:p>
            <w:pPr>
              <w:pStyle w:val="TableParagraph"/>
              <w:spacing w:before="40"/>
              <w:rPr>
                <w:sz w:val="22"/>
              </w:rPr>
            </w:pPr>
            <w:r>
              <w:rPr>
                <w:spacing w:val="-4"/>
                <w:sz w:val="22"/>
              </w:rPr>
              <w:t>9.8%</w:t>
            </w:r>
          </w:p>
        </w:tc>
        <w:tc>
          <w:tcPr>
            <w:tcW w:w="1818" w:type="dxa"/>
          </w:tcPr>
          <w:p>
            <w:pPr>
              <w:pStyle w:val="TableParagraph"/>
              <w:spacing w:before="40"/>
              <w:rPr>
                <w:sz w:val="22"/>
              </w:rPr>
            </w:pPr>
            <w:r>
              <w:rPr>
                <w:spacing w:val="-4"/>
                <w:sz w:val="22"/>
              </w:rPr>
              <w:t>8.2%</w:t>
            </w:r>
          </w:p>
        </w:tc>
      </w:tr>
      <w:tr>
        <w:trPr>
          <w:trHeight w:val="297" w:hRule="atLeast"/>
        </w:trPr>
        <w:tc>
          <w:tcPr>
            <w:tcW w:w="4707" w:type="dxa"/>
          </w:tcPr>
          <w:p>
            <w:pPr>
              <w:pStyle w:val="TableParagraph"/>
              <w:spacing w:before="40"/>
              <w:rPr>
                <w:sz w:val="22"/>
              </w:rPr>
            </w:pPr>
            <w:r>
              <w:rPr>
                <w:sz w:val="22"/>
              </w:rPr>
              <w:t>North</w:t>
            </w:r>
            <w:r>
              <w:rPr>
                <w:spacing w:val="-5"/>
                <w:sz w:val="22"/>
              </w:rPr>
              <w:t> </w:t>
            </w:r>
            <w:r>
              <w:rPr>
                <w:sz w:val="22"/>
              </w:rPr>
              <w:t>Somerset</w:t>
            </w:r>
            <w:r>
              <w:rPr>
                <w:spacing w:val="-3"/>
                <w:sz w:val="22"/>
              </w:rPr>
              <w:t> </w:t>
            </w:r>
            <w:r>
              <w:rPr>
                <w:spacing w:val="-4"/>
                <w:sz w:val="22"/>
              </w:rPr>
              <w:t>(65)</w:t>
            </w:r>
          </w:p>
        </w:tc>
        <w:tc>
          <w:tcPr>
            <w:tcW w:w="1479" w:type="dxa"/>
          </w:tcPr>
          <w:p>
            <w:pPr>
              <w:pStyle w:val="TableParagraph"/>
              <w:spacing w:before="40"/>
              <w:rPr>
                <w:sz w:val="22"/>
              </w:rPr>
            </w:pPr>
            <w:r>
              <w:rPr>
                <w:spacing w:val="-4"/>
                <w:sz w:val="22"/>
              </w:rPr>
              <w:t>6.1%</w:t>
            </w:r>
          </w:p>
        </w:tc>
        <w:tc>
          <w:tcPr>
            <w:tcW w:w="1818" w:type="dxa"/>
          </w:tcPr>
          <w:p>
            <w:pPr>
              <w:pStyle w:val="TableParagraph"/>
              <w:spacing w:before="40"/>
              <w:rPr>
                <w:sz w:val="22"/>
              </w:rPr>
            </w:pPr>
            <w:r>
              <w:rPr>
                <w:spacing w:val="-4"/>
                <w:sz w:val="22"/>
              </w:rPr>
              <w:t>4.3%</w:t>
            </w:r>
          </w:p>
        </w:tc>
      </w:tr>
      <w:tr>
        <w:trPr>
          <w:trHeight w:val="297" w:hRule="atLeast"/>
        </w:trPr>
        <w:tc>
          <w:tcPr>
            <w:tcW w:w="4707" w:type="dxa"/>
          </w:tcPr>
          <w:p>
            <w:pPr>
              <w:pStyle w:val="TableParagraph"/>
              <w:spacing w:before="40"/>
              <w:rPr>
                <w:sz w:val="22"/>
              </w:rPr>
            </w:pPr>
            <w:r>
              <w:rPr>
                <w:sz w:val="22"/>
              </w:rPr>
              <w:t>Wiltshire</w:t>
            </w:r>
            <w:r>
              <w:rPr>
                <w:spacing w:val="-12"/>
                <w:sz w:val="22"/>
              </w:rPr>
              <w:t> </w:t>
            </w:r>
            <w:r>
              <w:rPr>
                <w:spacing w:val="-4"/>
                <w:sz w:val="22"/>
              </w:rPr>
              <w:t>(51)</w:t>
            </w:r>
          </w:p>
        </w:tc>
        <w:tc>
          <w:tcPr>
            <w:tcW w:w="1479" w:type="dxa"/>
          </w:tcPr>
          <w:p>
            <w:pPr>
              <w:pStyle w:val="TableParagraph"/>
              <w:spacing w:before="40"/>
              <w:rPr>
                <w:sz w:val="22"/>
              </w:rPr>
            </w:pPr>
            <w:r>
              <w:rPr>
                <w:spacing w:val="-4"/>
                <w:sz w:val="22"/>
              </w:rPr>
              <w:t>4.8%</w:t>
            </w:r>
          </w:p>
        </w:tc>
        <w:tc>
          <w:tcPr>
            <w:tcW w:w="1818" w:type="dxa"/>
          </w:tcPr>
          <w:p>
            <w:pPr>
              <w:pStyle w:val="TableParagraph"/>
              <w:spacing w:before="40"/>
              <w:rPr>
                <w:sz w:val="22"/>
              </w:rPr>
            </w:pPr>
            <w:r>
              <w:rPr>
                <w:spacing w:val="-4"/>
                <w:sz w:val="22"/>
              </w:rPr>
              <w:t>4.2%</w:t>
            </w:r>
          </w:p>
        </w:tc>
      </w:tr>
      <w:tr>
        <w:trPr>
          <w:trHeight w:val="297" w:hRule="atLeast"/>
        </w:trPr>
        <w:tc>
          <w:tcPr>
            <w:tcW w:w="4707" w:type="dxa"/>
          </w:tcPr>
          <w:p>
            <w:pPr>
              <w:pStyle w:val="TableParagraph"/>
              <w:spacing w:before="40"/>
              <w:rPr>
                <w:sz w:val="22"/>
              </w:rPr>
            </w:pPr>
            <w:r>
              <w:rPr>
                <w:sz w:val="22"/>
              </w:rPr>
              <w:t>South</w:t>
            </w:r>
            <w:r>
              <w:rPr>
                <w:spacing w:val="-14"/>
                <w:sz w:val="22"/>
              </w:rPr>
              <w:t> </w:t>
            </w:r>
            <w:r>
              <w:rPr>
                <w:sz w:val="22"/>
              </w:rPr>
              <w:t>Gloucestershire</w:t>
            </w:r>
            <w:r>
              <w:rPr>
                <w:spacing w:val="-15"/>
                <w:sz w:val="22"/>
              </w:rPr>
              <w:t> </w:t>
            </w:r>
            <w:r>
              <w:rPr>
                <w:spacing w:val="-4"/>
                <w:sz w:val="22"/>
              </w:rPr>
              <w:t>(51)</w:t>
            </w:r>
          </w:p>
        </w:tc>
        <w:tc>
          <w:tcPr>
            <w:tcW w:w="1479" w:type="dxa"/>
          </w:tcPr>
          <w:p>
            <w:pPr>
              <w:pStyle w:val="TableParagraph"/>
              <w:spacing w:before="40"/>
              <w:rPr>
                <w:sz w:val="22"/>
              </w:rPr>
            </w:pPr>
            <w:r>
              <w:rPr>
                <w:spacing w:val="-4"/>
                <w:sz w:val="22"/>
              </w:rPr>
              <w:t>4.8%</w:t>
            </w:r>
          </w:p>
        </w:tc>
        <w:tc>
          <w:tcPr>
            <w:tcW w:w="1818" w:type="dxa"/>
          </w:tcPr>
          <w:p>
            <w:pPr>
              <w:pStyle w:val="TableParagraph"/>
              <w:spacing w:before="40"/>
              <w:rPr>
                <w:sz w:val="22"/>
              </w:rPr>
            </w:pPr>
            <w:r>
              <w:rPr>
                <w:spacing w:val="-4"/>
                <w:sz w:val="22"/>
              </w:rPr>
              <w:t>4.9%</w:t>
            </w:r>
          </w:p>
        </w:tc>
      </w:tr>
      <w:tr>
        <w:trPr>
          <w:trHeight w:val="295" w:hRule="atLeast"/>
        </w:trPr>
        <w:tc>
          <w:tcPr>
            <w:tcW w:w="4707" w:type="dxa"/>
          </w:tcPr>
          <w:p>
            <w:pPr>
              <w:pStyle w:val="TableParagraph"/>
              <w:spacing w:before="39"/>
              <w:rPr>
                <w:sz w:val="22"/>
              </w:rPr>
            </w:pPr>
            <w:r>
              <w:rPr>
                <w:sz w:val="22"/>
              </w:rPr>
              <w:t>Somerset</w:t>
            </w:r>
            <w:r>
              <w:rPr>
                <w:spacing w:val="-7"/>
                <w:sz w:val="22"/>
              </w:rPr>
              <w:t> </w:t>
            </w:r>
            <w:r>
              <w:rPr>
                <w:spacing w:val="-5"/>
                <w:sz w:val="22"/>
              </w:rPr>
              <w:t>(7)</w:t>
            </w:r>
          </w:p>
        </w:tc>
        <w:tc>
          <w:tcPr>
            <w:tcW w:w="1479" w:type="dxa"/>
          </w:tcPr>
          <w:p>
            <w:pPr>
              <w:pStyle w:val="TableParagraph"/>
              <w:spacing w:before="39"/>
              <w:rPr>
                <w:sz w:val="22"/>
              </w:rPr>
            </w:pPr>
            <w:r>
              <w:rPr>
                <w:spacing w:val="-4"/>
                <w:sz w:val="22"/>
              </w:rPr>
              <w:t>0.7%</w:t>
            </w:r>
          </w:p>
        </w:tc>
        <w:tc>
          <w:tcPr>
            <w:tcW w:w="1818" w:type="dxa"/>
          </w:tcPr>
          <w:p>
            <w:pPr>
              <w:pStyle w:val="TableParagraph"/>
              <w:spacing w:before="39"/>
              <w:rPr>
                <w:sz w:val="22"/>
              </w:rPr>
            </w:pPr>
            <w:r>
              <w:rPr>
                <w:spacing w:val="-4"/>
                <w:sz w:val="22"/>
              </w:rPr>
              <w:t>0.8%</w:t>
            </w:r>
          </w:p>
        </w:tc>
      </w:tr>
      <w:tr>
        <w:trPr>
          <w:trHeight w:val="299" w:hRule="atLeast"/>
        </w:trPr>
        <w:tc>
          <w:tcPr>
            <w:tcW w:w="4707" w:type="dxa"/>
          </w:tcPr>
          <w:p>
            <w:pPr>
              <w:pStyle w:val="TableParagraph"/>
              <w:spacing w:line="239" w:lineRule="exact" w:before="40"/>
              <w:rPr>
                <w:sz w:val="22"/>
              </w:rPr>
            </w:pPr>
            <w:r>
              <w:rPr>
                <w:sz w:val="22"/>
              </w:rPr>
              <w:t>Unknown</w:t>
            </w:r>
            <w:r>
              <w:rPr>
                <w:spacing w:val="-15"/>
                <w:sz w:val="22"/>
              </w:rPr>
              <w:t> </w:t>
            </w:r>
            <w:r>
              <w:rPr>
                <w:spacing w:val="-5"/>
                <w:sz w:val="22"/>
              </w:rPr>
              <w:t>(0)</w:t>
            </w:r>
          </w:p>
        </w:tc>
        <w:tc>
          <w:tcPr>
            <w:tcW w:w="1479" w:type="dxa"/>
          </w:tcPr>
          <w:p>
            <w:pPr>
              <w:pStyle w:val="TableParagraph"/>
              <w:spacing w:line="239" w:lineRule="exact" w:before="40"/>
              <w:rPr>
                <w:sz w:val="22"/>
              </w:rPr>
            </w:pPr>
            <w:r>
              <w:rPr>
                <w:spacing w:val="-4"/>
                <w:sz w:val="22"/>
              </w:rPr>
              <w:t>0.0%</w:t>
            </w:r>
          </w:p>
        </w:tc>
        <w:tc>
          <w:tcPr>
            <w:tcW w:w="1818" w:type="dxa"/>
          </w:tcPr>
          <w:p>
            <w:pPr>
              <w:pStyle w:val="TableParagraph"/>
              <w:spacing w:line="239" w:lineRule="exact" w:before="40"/>
              <w:rPr>
                <w:sz w:val="22"/>
              </w:rPr>
            </w:pPr>
            <w:r>
              <w:rPr>
                <w:spacing w:val="-4"/>
                <w:sz w:val="22"/>
              </w:rPr>
              <w:t>0.0%</w:t>
            </w:r>
          </w:p>
        </w:tc>
      </w:tr>
    </w:tbl>
    <w:p>
      <w:pPr>
        <w:pStyle w:val="BodyText"/>
        <w:spacing w:before="35" w:after="1"/>
        <w:rPr>
          <w:rFonts w:ascii="Arial"/>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1560"/>
        <w:gridCol w:w="1767"/>
      </w:tblGrid>
      <w:tr>
        <w:trPr>
          <w:trHeight w:val="265" w:hRule="atLeast"/>
        </w:trPr>
        <w:tc>
          <w:tcPr>
            <w:tcW w:w="4673" w:type="dxa"/>
          </w:tcPr>
          <w:p>
            <w:pPr>
              <w:pStyle w:val="TableParagraph"/>
              <w:rPr>
                <w:b/>
                <w:sz w:val="22"/>
              </w:rPr>
            </w:pPr>
            <w:r>
              <w:rPr>
                <w:b/>
                <w:sz w:val="22"/>
              </w:rPr>
              <w:t>Number</w:t>
            </w:r>
            <w:r>
              <w:rPr>
                <w:b/>
                <w:spacing w:val="-13"/>
                <w:sz w:val="22"/>
              </w:rPr>
              <w:t> </w:t>
            </w:r>
            <w:r>
              <w:rPr>
                <w:b/>
                <w:sz w:val="22"/>
              </w:rPr>
              <w:t>of</w:t>
            </w:r>
            <w:r>
              <w:rPr>
                <w:b/>
                <w:spacing w:val="-11"/>
                <w:sz w:val="22"/>
              </w:rPr>
              <w:t> </w:t>
            </w:r>
            <w:r>
              <w:rPr>
                <w:b/>
                <w:spacing w:val="-2"/>
                <w:sz w:val="22"/>
              </w:rPr>
              <w:t>bedrooms</w:t>
            </w:r>
          </w:p>
        </w:tc>
        <w:tc>
          <w:tcPr>
            <w:tcW w:w="1560" w:type="dxa"/>
          </w:tcPr>
          <w:p>
            <w:pPr>
              <w:pStyle w:val="TableParagraph"/>
              <w:ind w:left="108"/>
              <w:rPr>
                <w:sz w:val="22"/>
              </w:rPr>
            </w:pPr>
            <w:r>
              <w:rPr>
                <w:sz w:val="22"/>
              </w:rPr>
              <w:t>Q4</w:t>
            </w:r>
            <w:r>
              <w:rPr>
                <w:spacing w:val="-6"/>
                <w:sz w:val="22"/>
              </w:rPr>
              <w:t> </w:t>
            </w:r>
            <w:r>
              <w:rPr>
                <w:spacing w:val="-2"/>
                <w:sz w:val="22"/>
              </w:rPr>
              <w:t>Sample</w:t>
            </w:r>
          </w:p>
        </w:tc>
        <w:tc>
          <w:tcPr>
            <w:tcW w:w="1767" w:type="dxa"/>
          </w:tcPr>
          <w:p>
            <w:pPr>
              <w:pStyle w:val="TableParagraph"/>
              <w:ind w:left="108"/>
              <w:rPr>
                <w:sz w:val="22"/>
              </w:rPr>
            </w:pPr>
            <w:r>
              <w:rPr>
                <w:spacing w:val="-2"/>
                <w:sz w:val="22"/>
              </w:rPr>
              <w:t>Database</w:t>
            </w:r>
          </w:p>
        </w:tc>
      </w:tr>
      <w:tr>
        <w:trPr>
          <w:trHeight w:val="266" w:hRule="atLeast"/>
        </w:trPr>
        <w:tc>
          <w:tcPr>
            <w:tcW w:w="4673" w:type="dxa"/>
          </w:tcPr>
          <w:p>
            <w:pPr>
              <w:pStyle w:val="TableParagraph"/>
              <w:rPr>
                <w:sz w:val="22"/>
              </w:rPr>
            </w:pPr>
            <w:r>
              <w:rPr>
                <w:sz w:val="22"/>
              </w:rPr>
              <w:t>0</w:t>
            </w:r>
            <w:r>
              <w:rPr>
                <w:spacing w:val="-2"/>
                <w:sz w:val="22"/>
              </w:rPr>
              <w:t> </w:t>
            </w:r>
            <w:r>
              <w:rPr>
                <w:spacing w:val="-4"/>
                <w:sz w:val="22"/>
              </w:rPr>
              <w:t>(13)</w:t>
            </w:r>
          </w:p>
        </w:tc>
        <w:tc>
          <w:tcPr>
            <w:tcW w:w="1560" w:type="dxa"/>
          </w:tcPr>
          <w:p>
            <w:pPr>
              <w:pStyle w:val="TableParagraph"/>
              <w:ind w:left="108"/>
              <w:rPr>
                <w:sz w:val="22"/>
              </w:rPr>
            </w:pPr>
            <w:r>
              <w:rPr>
                <w:spacing w:val="-4"/>
                <w:sz w:val="22"/>
              </w:rPr>
              <w:t>1.2%</w:t>
            </w:r>
          </w:p>
        </w:tc>
        <w:tc>
          <w:tcPr>
            <w:tcW w:w="1767" w:type="dxa"/>
          </w:tcPr>
          <w:p>
            <w:pPr>
              <w:pStyle w:val="TableParagraph"/>
              <w:ind w:left="108"/>
              <w:rPr>
                <w:sz w:val="22"/>
              </w:rPr>
            </w:pPr>
            <w:r>
              <w:rPr>
                <w:spacing w:val="-4"/>
                <w:sz w:val="22"/>
              </w:rPr>
              <w:t>1.5%</w:t>
            </w:r>
          </w:p>
        </w:tc>
      </w:tr>
      <w:tr>
        <w:trPr>
          <w:trHeight w:val="268" w:hRule="atLeast"/>
        </w:trPr>
        <w:tc>
          <w:tcPr>
            <w:tcW w:w="4673" w:type="dxa"/>
          </w:tcPr>
          <w:p>
            <w:pPr>
              <w:pStyle w:val="TableParagraph"/>
              <w:spacing w:before="12"/>
              <w:rPr>
                <w:sz w:val="22"/>
              </w:rPr>
            </w:pPr>
            <w:r>
              <w:rPr>
                <w:sz w:val="22"/>
              </w:rPr>
              <w:t>1</w:t>
            </w:r>
            <w:r>
              <w:rPr>
                <w:spacing w:val="-2"/>
                <w:sz w:val="22"/>
              </w:rPr>
              <w:t> (367)</w:t>
            </w:r>
          </w:p>
        </w:tc>
        <w:tc>
          <w:tcPr>
            <w:tcW w:w="1560" w:type="dxa"/>
          </w:tcPr>
          <w:p>
            <w:pPr>
              <w:pStyle w:val="TableParagraph"/>
              <w:spacing w:before="12"/>
              <w:ind w:left="108"/>
              <w:rPr>
                <w:sz w:val="22"/>
              </w:rPr>
            </w:pPr>
            <w:r>
              <w:rPr>
                <w:spacing w:val="-4"/>
                <w:sz w:val="22"/>
              </w:rPr>
              <w:t>34.4%</w:t>
            </w:r>
          </w:p>
        </w:tc>
        <w:tc>
          <w:tcPr>
            <w:tcW w:w="1767" w:type="dxa"/>
          </w:tcPr>
          <w:p>
            <w:pPr>
              <w:pStyle w:val="TableParagraph"/>
              <w:spacing w:before="12"/>
              <w:ind w:left="108"/>
              <w:rPr>
                <w:sz w:val="22"/>
              </w:rPr>
            </w:pPr>
            <w:r>
              <w:rPr>
                <w:spacing w:val="-4"/>
                <w:sz w:val="22"/>
              </w:rPr>
              <w:t>30.2%</w:t>
            </w:r>
          </w:p>
        </w:tc>
      </w:tr>
      <w:tr>
        <w:trPr>
          <w:trHeight w:val="266" w:hRule="atLeast"/>
        </w:trPr>
        <w:tc>
          <w:tcPr>
            <w:tcW w:w="4673" w:type="dxa"/>
          </w:tcPr>
          <w:p>
            <w:pPr>
              <w:pStyle w:val="TableParagraph"/>
              <w:rPr>
                <w:sz w:val="22"/>
              </w:rPr>
            </w:pPr>
            <w:r>
              <w:rPr>
                <w:sz w:val="22"/>
              </w:rPr>
              <w:t>2</w:t>
            </w:r>
            <w:r>
              <w:rPr>
                <w:spacing w:val="-2"/>
                <w:sz w:val="22"/>
              </w:rPr>
              <w:t> (367)</w:t>
            </w:r>
          </w:p>
        </w:tc>
        <w:tc>
          <w:tcPr>
            <w:tcW w:w="1560" w:type="dxa"/>
          </w:tcPr>
          <w:p>
            <w:pPr>
              <w:pStyle w:val="TableParagraph"/>
              <w:ind w:left="108"/>
              <w:rPr>
                <w:sz w:val="22"/>
              </w:rPr>
            </w:pPr>
            <w:r>
              <w:rPr>
                <w:spacing w:val="-4"/>
                <w:sz w:val="22"/>
              </w:rPr>
              <w:t>34.4%</w:t>
            </w:r>
          </w:p>
        </w:tc>
        <w:tc>
          <w:tcPr>
            <w:tcW w:w="1767" w:type="dxa"/>
          </w:tcPr>
          <w:p>
            <w:pPr>
              <w:pStyle w:val="TableParagraph"/>
              <w:ind w:left="108"/>
              <w:rPr>
                <w:sz w:val="22"/>
              </w:rPr>
            </w:pPr>
            <w:r>
              <w:rPr>
                <w:spacing w:val="-4"/>
                <w:sz w:val="22"/>
              </w:rPr>
              <w:t>35.5%</w:t>
            </w:r>
          </w:p>
        </w:tc>
      </w:tr>
      <w:tr>
        <w:trPr>
          <w:trHeight w:val="266" w:hRule="atLeast"/>
        </w:trPr>
        <w:tc>
          <w:tcPr>
            <w:tcW w:w="4673" w:type="dxa"/>
          </w:tcPr>
          <w:p>
            <w:pPr>
              <w:pStyle w:val="TableParagraph"/>
              <w:rPr>
                <w:sz w:val="22"/>
              </w:rPr>
            </w:pPr>
            <w:r>
              <w:rPr>
                <w:sz w:val="22"/>
              </w:rPr>
              <w:t>3</w:t>
            </w:r>
            <w:r>
              <w:rPr>
                <w:spacing w:val="-2"/>
                <w:sz w:val="22"/>
              </w:rPr>
              <w:t> (258)</w:t>
            </w:r>
          </w:p>
        </w:tc>
        <w:tc>
          <w:tcPr>
            <w:tcW w:w="1560" w:type="dxa"/>
          </w:tcPr>
          <w:p>
            <w:pPr>
              <w:pStyle w:val="TableParagraph"/>
              <w:ind w:left="108"/>
              <w:rPr>
                <w:sz w:val="22"/>
              </w:rPr>
            </w:pPr>
            <w:r>
              <w:rPr>
                <w:spacing w:val="-4"/>
                <w:sz w:val="22"/>
              </w:rPr>
              <w:t>24.2%</w:t>
            </w:r>
          </w:p>
        </w:tc>
        <w:tc>
          <w:tcPr>
            <w:tcW w:w="1767" w:type="dxa"/>
          </w:tcPr>
          <w:p>
            <w:pPr>
              <w:pStyle w:val="TableParagraph"/>
              <w:ind w:left="108"/>
              <w:rPr>
                <w:sz w:val="22"/>
              </w:rPr>
            </w:pPr>
            <w:r>
              <w:rPr>
                <w:spacing w:val="-4"/>
                <w:sz w:val="22"/>
              </w:rPr>
              <w:t>26.0%</w:t>
            </w:r>
          </w:p>
        </w:tc>
      </w:tr>
      <w:tr>
        <w:trPr>
          <w:trHeight w:val="265" w:hRule="atLeast"/>
        </w:trPr>
        <w:tc>
          <w:tcPr>
            <w:tcW w:w="4673" w:type="dxa"/>
          </w:tcPr>
          <w:p>
            <w:pPr>
              <w:pStyle w:val="TableParagraph"/>
              <w:rPr>
                <w:sz w:val="22"/>
              </w:rPr>
            </w:pPr>
            <w:r>
              <w:rPr>
                <w:sz w:val="22"/>
              </w:rPr>
              <w:t>4</w:t>
            </w:r>
            <w:r>
              <w:rPr>
                <w:spacing w:val="-2"/>
                <w:sz w:val="22"/>
              </w:rPr>
              <w:t> </w:t>
            </w:r>
            <w:r>
              <w:rPr>
                <w:spacing w:val="-4"/>
                <w:sz w:val="22"/>
              </w:rPr>
              <w:t>(30)</w:t>
            </w:r>
          </w:p>
        </w:tc>
        <w:tc>
          <w:tcPr>
            <w:tcW w:w="1560" w:type="dxa"/>
          </w:tcPr>
          <w:p>
            <w:pPr>
              <w:pStyle w:val="TableParagraph"/>
              <w:ind w:left="108"/>
              <w:rPr>
                <w:sz w:val="22"/>
              </w:rPr>
            </w:pPr>
            <w:r>
              <w:rPr>
                <w:spacing w:val="-4"/>
                <w:sz w:val="22"/>
              </w:rPr>
              <w:t>2.8%</w:t>
            </w:r>
          </w:p>
        </w:tc>
        <w:tc>
          <w:tcPr>
            <w:tcW w:w="1767" w:type="dxa"/>
          </w:tcPr>
          <w:p>
            <w:pPr>
              <w:pStyle w:val="TableParagraph"/>
              <w:ind w:left="108"/>
              <w:rPr>
                <w:sz w:val="22"/>
              </w:rPr>
            </w:pPr>
            <w:r>
              <w:rPr>
                <w:spacing w:val="-4"/>
                <w:sz w:val="22"/>
              </w:rPr>
              <w:t>2.9%</w:t>
            </w:r>
          </w:p>
        </w:tc>
      </w:tr>
      <w:tr>
        <w:trPr>
          <w:trHeight w:val="266" w:hRule="atLeast"/>
        </w:trPr>
        <w:tc>
          <w:tcPr>
            <w:tcW w:w="4673" w:type="dxa"/>
          </w:tcPr>
          <w:p>
            <w:pPr>
              <w:pStyle w:val="TableParagraph"/>
              <w:rPr>
                <w:sz w:val="22"/>
              </w:rPr>
            </w:pPr>
            <w:r>
              <w:rPr>
                <w:sz w:val="22"/>
              </w:rPr>
              <w:t>5</w:t>
            </w:r>
            <w:r>
              <w:rPr>
                <w:spacing w:val="-2"/>
                <w:sz w:val="22"/>
              </w:rPr>
              <w:t> </w:t>
            </w:r>
            <w:r>
              <w:rPr>
                <w:spacing w:val="-5"/>
                <w:sz w:val="22"/>
              </w:rPr>
              <w:t>(1)</w:t>
            </w:r>
          </w:p>
        </w:tc>
        <w:tc>
          <w:tcPr>
            <w:tcW w:w="1560" w:type="dxa"/>
          </w:tcPr>
          <w:p>
            <w:pPr>
              <w:pStyle w:val="TableParagraph"/>
              <w:ind w:left="108"/>
              <w:rPr>
                <w:sz w:val="22"/>
              </w:rPr>
            </w:pPr>
            <w:r>
              <w:rPr>
                <w:spacing w:val="-4"/>
                <w:sz w:val="22"/>
              </w:rPr>
              <w:t>0.1%</w:t>
            </w:r>
          </w:p>
        </w:tc>
        <w:tc>
          <w:tcPr>
            <w:tcW w:w="1767" w:type="dxa"/>
          </w:tcPr>
          <w:p>
            <w:pPr>
              <w:pStyle w:val="TableParagraph"/>
              <w:ind w:left="108"/>
              <w:rPr>
                <w:sz w:val="22"/>
              </w:rPr>
            </w:pPr>
            <w:r>
              <w:rPr>
                <w:spacing w:val="-4"/>
                <w:sz w:val="22"/>
              </w:rPr>
              <w:t>0.1%</w:t>
            </w:r>
          </w:p>
        </w:tc>
      </w:tr>
      <w:tr>
        <w:trPr>
          <w:trHeight w:val="265" w:hRule="atLeast"/>
        </w:trPr>
        <w:tc>
          <w:tcPr>
            <w:tcW w:w="4673" w:type="dxa"/>
          </w:tcPr>
          <w:p>
            <w:pPr>
              <w:pStyle w:val="TableParagraph"/>
              <w:rPr>
                <w:sz w:val="22"/>
              </w:rPr>
            </w:pPr>
            <w:r>
              <w:rPr>
                <w:sz w:val="22"/>
              </w:rPr>
              <w:t>6</w:t>
            </w:r>
            <w:r>
              <w:rPr>
                <w:spacing w:val="-2"/>
                <w:sz w:val="22"/>
              </w:rPr>
              <w:t> </w:t>
            </w:r>
            <w:r>
              <w:rPr>
                <w:spacing w:val="-5"/>
                <w:sz w:val="22"/>
              </w:rPr>
              <w:t>(0)</w:t>
            </w:r>
          </w:p>
        </w:tc>
        <w:tc>
          <w:tcPr>
            <w:tcW w:w="1560" w:type="dxa"/>
          </w:tcPr>
          <w:p>
            <w:pPr>
              <w:pStyle w:val="TableParagraph"/>
              <w:ind w:left="108"/>
              <w:rPr>
                <w:sz w:val="22"/>
              </w:rPr>
            </w:pPr>
            <w:r>
              <w:rPr>
                <w:spacing w:val="-4"/>
                <w:sz w:val="22"/>
              </w:rPr>
              <w:t>0.0%</w:t>
            </w:r>
          </w:p>
        </w:tc>
        <w:tc>
          <w:tcPr>
            <w:tcW w:w="1767" w:type="dxa"/>
          </w:tcPr>
          <w:p>
            <w:pPr>
              <w:pStyle w:val="TableParagraph"/>
              <w:ind w:left="108"/>
              <w:rPr>
                <w:sz w:val="22"/>
              </w:rPr>
            </w:pPr>
            <w:r>
              <w:rPr>
                <w:spacing w:val="-4"/>
                <w:sz w:val="22"/>
              </w:rPr>
              <w:t>0.0%</w:t>
            </w:r>
          </w:p>
        </w:tc>
      </w:tr>
      <w:tr>
        <w:trPr>
          <w:trHeight w:val="266" w:hRule="atLeast"/>
        </w:trPr>
        <w:tc>
          <w:tcPr>
            <w:tcW w:w="4673" w:type="dxa"/>
          </w:tcPr>
          <w:p>
            <w:pPr>
              <w:pStyle w:val="TableParagraph"/>
              <w:rPr>
                <w:sz w:val="22"/>
              </w:rPr>
            </w:pPr>
            <w:r>
              <w:rPr>
                <w:sz w:val="22"/>
              </w:rPr>
              <w:t>Unknown</w:t>
            </w:r>
            <w:r>
              <w:rPr>
                <w:spacing w:val="-15"/>
                <w:sz w:val="22"/>
              </w:rPr>
              <w:t> </w:t>
            </w:r>
            <w:r>
              <w:rPr>
                <w:spacing w:val="-4"/>
                <w:sz w:val="22"/>
              </w:rPr>
              <w:t>(32)</w:t>
            </w:r>
          </w:p>
        </w:tc>
        <w:tc>
          <w:tcPr>
            <w:tcW w:w="1560" w:type="dxa"/>
          </w:tcPr>
          <w:p>
            <w:pPr>
              <w:pStyle w:val="TableParagraph"/>
              <w:ind w:left="108"/>
              <w:rPr>
                <w:sz w:val="22"/>
              </w:rPr>
            </w:pPr>
            <w:r>
              <w:rPr>
                <w:spacing w:val="-4"/>
                <w:sz w:val="22"/>
              </w:rPr>
              <w:t>3.0%</w:t>
            </w:r>
          </w:p>
        </w:tc>
        <w:tc>
          <w:tcPr>
            <w:tcW w:w="1767" w:type="dxa"/>
          </w:tcPr>
          <w:p>
            <w:pPr>
              <w:pStyle w:val="TableParagraph"/>
              <w:ind w:left="108"/>
              <w:rPr>
                <w:sz w:val="22"/>
              </w:rPr>
            </w:pPr>
            <w:r>
              <w:rPr>
                <w:spacing w:val="-4"/>
                <w:sz w:val="22"/>
              </w:rPr>
              <w:t>3.9%</w:t>
            </w:r>
          </w:p>
        </w:tc>
      </w:tr>
    </w:tbl>
    <w:p>
      <w:pPr>
        <w:pStyle w:val="BodyText"/>
        <w:spacing w:line="252" w:lineRule="auto" w:before="12"/>
        <w:ind w:left="23"/>
        <w:rPr>
          <w:rFonts w:ascii="Arial"/>
        </w:rPr>
      </w:pPr>
      <w:r>
        <w:rPr>
          <w:rFonts w:ascii="Arial"/>
        </w:rPr>
        <w:t>The</w:t>
      </w:r>
      <w:r>
        <w:rPr>
          <w:rFonts w:ascii="Arial"/>
          <w:spacing w:val="-3"/>
        </w:rPr>
        <w:t> </w:t>
      </w:r>
      <w:r>
        <w:rPr>
          <w:rFonts w:ascii="Arial"/>
        </w:rPr>
        <w:t>proportions</w:t>
      </w:r>
      <w:r>
        <w:rPr>
          <w:rFonts w:ascii="Arial"/>
          <w:spacing w:val="-1"/>
        </w:rPr>
        <w:t> </w:t>
      </w:r>
      <w:r>
        <w:rPr>
          <w:rFonts w:ascii="Arial"/>
        </w:rPr>
        <w:t>captured</w:t>
      </w:r>
      <w:r>
        <w:rPr>
          <w:rFonts w:ascii="Arial"/>
          <w:spacing w:val="-1"/>
        </w:rPr>
        <w:t> </w:t>
      </w:r>
      <w:r>
        <w:rPr>
          <w:rFonts w:ascii="Arial"/>
        </w:rPr>
        <w:t>in</w:t>
      </w:r>
      <w:r>
        <w:rPr>
          <w:rFonts w:ascii="Arial"/>
          <w:spacing w:val="-2"/>
        </w:rPr>
        <w:t> </w:t>
      </w:r>
      <w:r>
        <w:rPr>
          <w:rFonts w:ascii="Arial"/>
        </w:rPr>
        <w:t>the</w:t>
      </w:r>
      <w:r>
        <w:rPr>
          <w:rFonts w:ascii="Arial"/>
          <w:spacing w:val="-2"/>
        </w:rPr>
        <w:t> </w:t>
      </w:r>
      <w:r>
        <w:rPr>
          <w:rFonts w:ascii="Arial"/>
        </w:rPr>
        <w:t>sample</w:t>
      </w:r>
      <w:r>
        <w:rPr>
          <w:rFonts w:ascii="Arial"/>
          <w:spacing w:val="-3"/>
        </w:rPr>
        <w:t> </w:t>
      </w:r>
      <w:r>
        <w:rPr>
          <w:rFonts w:ascii="Arial"/>
        </w:rPr>
        <w:t>are</w:t>
      </w:r>
      <w:r>
        <w:rPr>
          <w:rFonts w:ascii="Arial"/>
          <w:spacing w:val="-3"/>
        </w:rPr>
        <w:t> </w:t>
      </w:r>
      <w:r>
        <w:rPr>
          <w:rFonts w:ascii="Arial"/>
        </w:rPr>
        <w:t>very</w:t>
      </w:r>
      <w:r>
        <w:rPr>
          <w:rFonts w:ascii="Arial"/>
          <w:spacing w:val="-2"/>
        </w:rPr>
        <w:t> </w:t>
      </w:r>
      <w:r>
        <w:rPr>
          <w:rFonts w:ascii="Arial"/>
        </w:rPr>
        <w:t>close</w:t>
      </w:r>
      <w:r>
        <w:rPr>
          <w:rFonts w:ascii="Arial"/>
          <w:spacing w:val="-2"/>
        </w:rPr>
        <w:t> </w:t>
      </w:r>
      <w:r>
        <w:rPr>
          <w:rFonts w:ascii="Arial"/>
        </w:rPr>
        <w:t>to</w:t>
      </w:r>
      <w:r>
        <w:rPr>
          <w:rFonts w:ascii="Arial"/>
          <w:spacing w:val="-1"/>
        </w:rPr>
        <w:t> </w:t>
      </w:r>
      <w:r>
        <w:rPr>
          <w:rFonts w:ascii="Arial"/>
        </w:rPr>
        <w:t>the</w:t>
      </w:r>
      <w:r>
        <w:rPr>
          <w:rFonts w:ascii="Arial"/>
          <w:spacing w:val="-3"/>
        </w:rPr>
        <w:t> </w:t>
      </w:r>
      <w:r>
        <w:rPr>
          <w:rFonts w:ascii="Arial"/>
        </w:rPr>
        <w:t>population</w:t>
      </w:r>
      <w:r>
        <w:rPr>
          <w:rFonts w:ascii="Arial"/>
          <w:spacing w:val="-2"/>
        </w:rPr>
        <w:t> </w:t>
      </w:r>
      <w:r>
        <w:rPr>
          <w:rFonts w:ascii="Arial"/>
        </w:rPr>
        <w:t>(within +/-</w:t>
      </w:r>
      <w:r>
        <w:rPr>
          <w:rFonts w:ascii="Arial"/>
          <w:spacing w:val="-1"/>
        </w:rPr>
        <w:t> </w:t>
      </w:r>
      <w:r>
        <w:rPr>
          <w:rFonts w:ascii="Arial"/>
        </w:rPr>
        <w:t>5% difference) so weighting is not necessary.</w:t>
      </w:r>
    </w:p>
    <w:p>
      <w:pPr>
        <w:pStyle w:val="BodyText"/>
        <w:spacing w:before="13"/>
        <w:rPr>
          <w:rFonts w:ascii="Arial"/>
        </w:rPr>
      </w:pPr>
    </w:p>
    <w:p>
      <w:pPr>
        <w:pStyle w:val="BodyText"/>
        <w:spacing w:line="252" w:lineRule="auto"/>
        <w:ind w:left="23" w:right="186"/>
        <w:rPr>
          <w:rFonts w:ascii="Arial"/>
        </w:rPr>
      </w:pPr>
      <w:r>
        <w:rPr>
          <w:rFonts w:ascii="Arial"/>
          <w:b/>
        </w:rPr>
        <w:t>Note: </w:t>
      </w:r>
      <w:r>
        <w:rPr>
          <w:rFonts w:ascii="Arial"/>
        </w:rPr>
        <w:t>The most important thing for assessing representativeness is to understand whether weighting the data to bring it in line with the proportions seen in the database will have an impact</w:t>
      </w:r>
      <w:r>
        <w:rPr>
          <w:rFonts w:ascii="Arial"/>
          <w:spacing w:val="-1"/>
        </w:rPr>
        <w:t> </w:t>
      </w:r>
      <w:r>
        <w:rPr>
          <w:rFonts w:ascii="Arial"/>
        </w:rPr>
        <w:t>on</w:t>
      </w:r>
      <w:r>
        <w:rPr>
          <w:rFonts w:ascii="Arial"/>
          <w:spacing w:val="-2"/>
        </w:rPr>
        <w:t> </w:t>
      </w:r>
      <w:r>
        <w:rPr>
          <w:rFonts w:ascii="Arial"/>
        </w:rPr>
        <w:t>the</w:t>
      </w:r>
      <w:r>
        <w:rPr>
          <w:rFonts w:ascii="Arial"/>
          <w:spacing w:val="-2"/>
        </w:rPr>
        <w:t> </w:t>
      </w:r>
      <w:r>
        <w:rPr>
          <w:rFonts w:ascii="Arial"/>
        </w:rPr>
        <w:t>overall</w:t>
      </w:r>
      <w:r>
        <w:rPr>
          <w:rFonts w:ascii="Arial"/>
          <w:spacing w:val="-1"/>
        </w:rPr>
        <w:t> </w:t>
      </w:r>
      <w:r>
        <w:rPr>
          <w:rFonts w:ascii="Arial"/>
        </w:rPr>
        <w:t>scores</w:t>
      </w:r>
      <w:r>
        <w:rPr>
          <w:rFonts w:ascii="Arial"/>
          <w:spacing w:val="-1"/>
        </w:rPr>
        <w:t> </w:t>
      </w:r>
      <w:r>
        <w:rPr>
          <w:rFonts w:ascii="Arial"/>
        </w:rPr>
        <w:t>or</w:t>
      </w:r>
      <w:r>
        <w:rPr>
          <w:rFonts w:ascii="Arial"/>
          <w:spacing w:val="-3"/>
        </w:rPr>
        <w:t> </w:t>
      </w:r>
      <w:r>
        <w:rPr>
          <w:rFonts w:ascii="Arial"/>
        </w:rPr>
        <w:t>not.</w:t>
      </w:r>
      <w:r>
        <w:rPr>
          <w:rFonts w:ascii="Arial"/>
          <w:spacing w:val="-2"/>
        </w:rPr>
        <w:t> </w:t>
      </w:r>
      <w:r>
        <w:rPr>
          <w:rFonts w:ascii="Arial"/>
        </w:rPr>
        <w:t>In</w:t>
      </w:r>
      <w:r>
        <w:rPr>
          <w:rFonts w:ascii="Arial"/>
          <w:spacing w:val="-2"/>
        </w:rPr>
        <w:t> </w:t>
      </w:r>
      <w:r>
        <w:rPr>
          <w:rFonts w:ascii="Arial"/>
        </w:rPr>
        <w:t>instances</w:t>
      </w:r>
      <w:r>
        <w:rPr>
          <w:rFonts w:ascii="Arial"/>
          <w:spacing w:val="-1"/>
        </w:rPr>
        <w:t> </w:t>
      </w:r>
      <w:r>
        <w:rPr>
          <w:rFonts w:ascii="Arial"/>
        </w:rPr>
        <w:t>where</w:t>
      </w:r>
      <w:r>
        <w:rPr>
          <w:rFonts w:ascii="Arial"/>
          <w:spacing w:val="-3"/>
        </w:rPr>
        <w:t> </w:t>
      </w:r>
      <w:r>
        <w:rPr>
          <w:rFonts w:ascii="Arial"/>
        </w:rPr>
        <w:t>different</w:t>
      </w:r>
      <w:r>
        <w:rPr>
          <w:rFonts w:ascii="Arial"/>
          <w:spacing w:val="-1"/>
        </w:rPr>
        <w:t> </w:t>
      </w:r>
      <w:r>
        <w:rPr>
          <w:rFonts w:ascii="Arial"/>
        </w:rPr>
        <w:t>groups</w:t>
      </w:r>
      <w:r>
        <w:rPr>
          <w:rFonts w:ascii="Arial"/>
          <w:spacing w:val="-1"/>
        </w:rPr>
        <w:t> </w:t>
      </w:r>
      <w:r>
        <w:rPr>
          <w:rFonts w:ascii="Arial"/>
        </w:rPr>
        <w:t>clearly</w:t>
      </w:r>
      <w:r>
        <w:rPr>
          <w:rFonts w:ascii="Arial"/>
          <w:spacing w:val="-2"/>
        </w:rPr>
        <w:t> </w:t>
      </w:r>
      <w:r>
        <w:rPr>
          <w:rFonts w:ascii="Arial"/>
        </w:rPr>
        <w:t>have</w:t>
      </w:r>
      <w:r>
        <w:rPr>
          <w:rFonts w:ascii="Arial"/>
          <w:spacing w:val="-3"/>
        </w:rPr>
        <w:t> </w:t>
      </w:r>
      <w:r>
        <w:rPr>
          <w:rFonts w:ascii="Arial"/>
        </w:rPr>
        <w:t>different overall satisfaction scores (such as general needs vs sheltered housing), we would want to ensure the proportions of those groups are in line with those seen in the overall database (and</w:t>
      </w:r>
      <w:r>
        <w:rPr>
          <w:rFonts w:ascii="Arial"/>
          <w:spacing w:val="-5"/>
        </w:rPr>
        <w:t> </w:t>
      </w:r>
      <w:r>
        <w:rPr>
          <w:rFonts w:ascii="Arial"/>
        </w:rPr>
        <w:t>thus</w:t>
      </w:r>
      <w:r>
        <w:rPr>
          <w:rFonts w:ascii="Arial"/>
          <w:spacing w:val="-5"/>
        </w:rPr>
        <w:t> </w:t>
      </w:r>
      <w:r>
        <w:rPr>
          <w:rFonts w:ascii="Arial"/>
        </w:rPr>
        <w:t>might</w:t>
      </w:r>
      <w:r>
        <w:rPr>
          <w:rFonts w:ascii="Arial"/>
          <w:spacing w:val="-5"/>
        </w:rPr>
        <w:t> </w:t>
      </w:r>
      <w:r>
        <w:rPr>
          <w:rFonts w:ascii="Arial"/>
        </w:rPr>
        <w:t>need</w:t>
      </w:r>
      <w:r>
        <w:rPr>
          <w:rFonts w:ascii="Arial"/>
          <w:spacing w:val="-5"/>
        </w:rPr>
        <w:t> </w:t>
      </w:r>
      <w:r>
        <w:rPr>
          <w:rFonts w:ascii="Arial"/>
        </w:rPr>
        <w:t>to</w:t>
      </w:r>
      <w:r>
        <w:rPr>
          <w:rFonts w:ascii="Arial"/>
          <w:spacing w:val="-5"/>
        </w:rPr>
        <w:t> </w:t>
      </w:r>
      <w:r>
        <w:rPr>
          <w:rFonts w:ascii="Arial"/>
        </w:rPr>
        <w:t>weight</w:t>
      </w:r>
      <w:r>
        <w:rPr>
          <w:rFonts w:ascii="Arial"/>
          <w:spacing w:val="-6"/>
        </w:rPr>
        <w:t> </w:t>
      </w:r>
      <w:r>
        <w:rPr>
          <w:rFonts w:ascii="Arial"/>
        </w:rPr>
        <w:t>the</w:t>
      </w:r>
      <w:r>
        <w:rPr>
          <w:rFonts w:ascii="Arial"/>
          <w:spacing w:val="-6"/>
        </w:rPr>
        <w:t> </w:t>
      </w:r>
      <w:r>
        <w:rPr>
          <w:rFonts w:ascii="Arial"/>
        </w:rPr>
        <w:t>data</w:t>
      </w:r>
      <w:r>
        <w:rPr>
          <w:rFonts w:ascii="Arial"/>
          <w:spacing w:val="-7"/>
        </w:rPr>
        <w:t> </w:t>
      </w:r>
      <w:r>
        <w:rPr>
          <w:rFonts w:ascii="Arial"/>
        </w:rPr>
        <w:t>based</w:t>
      </w:r>
      <w:r>
        <w:rPr>
          <w:rFonts w:ascii="Arial"/>
          <w:spacing w:val="-5"/>
        </w:rPr>
        <w:t> </w:t>
      </w:r>
      <w:r>
        <w:rPr>
          <w:rFonts w:ascii="Arial"/>
        </w:rPr>
        <w:t>on</w:t>
      </w:r>
      <w:r>
        <w:rPr>
          <w:rFonts w:ascii="Arial"/>
          <w:spacing w:val="-8"/>
        </w:rPr>
        <w:t> </w:t>
      </w:r>
      <w:r>
        <w:rPr>
          <w:rFonts w:ascii="Arial"/>
        </w:rPr>
        <w:t>this</w:t>
      </w:r>
      <w:r>
        <w:rPr>
          <w:rFonts w:ascii="Arial"/>
          <w:spacing w:val="-5"/>
        </w:rPr>
        <w:t> </w:t>
      </w:r>
      <w:r>
        <w:rPr>
          <w:rFonts w:ascii="Arial"/>
        </w:rPr>
        <w:t>criteria).</w:t>
      </w:r>
      <w:r>
        <w:rPr>
          <w:rFonts w:ascii="Arial"/>
          <w:spacing w:val="-5"/>
        </w:rPr>
        <w:t> </w:t>
      </w:r>
      <w:r>
        <w:rPr>
          <w:rFonts w:ascii="Arial"/>
        </w:rPr>
        <w:t>If,</w:t>
      </w:r>
      <w:r>
        <w:rPr>
          <w:rFonts w:ascii="Arial"/>
          <w:spacing w:val="-6"/>
        </w:rPr>
        <w:t> </w:t>
      </w:r>
      <w:r>
        <w:rPr>
          <w:rFonts w:ascii="Arial"/>
        </w:rPr>
        <w:t>however,</w:t>
      </w:r>
      <w:r>
        <w:rPr>
          <w:rFonts w:ascii="Arial"/>
          <w:spacing w:val="-6"/>
        </w:rPr>
        <w:t> </w:t>
      </w:r>
      <w:r>
        <w:rPr>
          <w:rFonts w:ascii="Arial"/>
        </w:rPr>
        <w:t>overall</w:t>
      </w:r>
      <w:r>
        <w:rPr>
          <w:rFonts w:ascii="Arial"/>
          <w:spacing w:val="-5"/>
        </w:rPr>
        <w:t> </w:t>
      </w:r>
      <w:r>
        <w:rPr>
          <w:rFonts w:ascii="Arial"/>
        </w:rPr>
        <w:t>sat</w:t>
      </w:r>
      <w:r>
        <w:rPr>
          <w:rFonts w:ascii="Arial"/>
          <w:spacing w:val="-5"/>
        </w:rPr>
        <w:t> </w:t>
      </w:r>
      <w:r>
        <w:rPr>
          <w:rFonts w:ascii="Arial"/>
        </w:rPr>
        <w:t>scores were consistent across different groups within a criterion (such as number of bedrooms), weighting would not be considered beneficial. We would only recommend weighting on 1 to</w:t>
      </w:r>
      <w:r>
        <w:rPr>
          <w:rFonts w:ascii="Arial"/>
          <w:spacing w:val="40"/>
        </w:rPr>
        <w:t> </w:t>
      </w:r>
      <w:r>
        <w:rPr>
          <w:rFonts w:ascii="Arial"/>
        </w:rPr>
        <w:t>2 criteria, as weights have a knock-on impact on other proportions seen in the database</w:t>
      </w:r>
    </w:p>
    <w:sectPr>
      <w:pgSz w:w="11910" w:h="16840"/>
      <w:pgMar w:header="0" w:footer="913" w:top="1400" w:bottom="11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29792">
          <wp:simplePos x="0" y="0"/>
          <wp:positionH relativeFrom="page">
            <wp:posOffset>6351581</wp:posOffset>
          </wp:positionH>
          <wp:positionV relativeFrom="page">
            <wp:posOffset>9985634</wp:posOffset>
          </wp:positionV>
          <wp:extent cx="1035700" cy="49483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35700" cy="494833"/>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30304">
              <wp:simplePos x="0" y="0"/>
              <wp:positionH relativeFrom="page">
                <wp:posOffset>902004</wp:posOffset>
              </wp:positionH>
              <wp:positionV relativeFrom="page">
                <wp:posOffset>10061643</wp:posOffset>
              </wp:positionV>
              <wp:extent cx="4859655" cy="1955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59655" cy="195580"/>
                      </a:xfrm>
                      <a:prstGeom prst="rect">
                        <a:avLst/>
                      </a:prstGeom>
                    </wps:spPr>
                    <wps:txbx>
                      <w:txbxContent>
                        <w:p>
                          <w:pPr>
                            <w:pStyle w:val="BodyText"/>
                            <w:spacing w:before="30"/>
                            <w:ind w:left="20"/>
                            <w:rPr>
                              <w:rFonts w:ascii="Arial"/>
                            </w:rPr>
                          </w:pPr>
                          <w:r>
                            <w:rPr>
                              <w:rFonts w:ascii="Arial"/>
                              <w:spacing w:val="-2"/>
                            </w:rPr>
                            <w:t>Curo</w:t>
                          </w:r>
                          <w:r>
                            <w:rPr>
                              <w:rFonts w:ascii="Arial"/>
                              <w:spacing w:val="1"/>
                            </w:rPr>
                            <w:t> </w:t>
                          </w:r>
                          <w:r>
                            <w:rPr>
                              <w:rFonts w:ascii="Arial"/>
                              <w:spacing w:val="-2"/>
                            </w:rPr>
                            <w:t>TSM_Statement</w:t>
                          </w:r>
                          <w:r>
                            <w:rPr>
                              <w:rFonts w:ascii="Arial"/>
                              <w:spacing w:val="2"/>
                            </w:rPr>
                            <w:t> </w:t>
                          </w:r>
                          <w:r>
                            <w:rPr>
                              <w:rFonts w:ascii="Arial"/>
                              <w:spacing w:val="-2"/>
                            </w:rPr>
                            <w:t>of</w:t>
                          </w:r>
                          <w:r>
                            <w:rPr>
                              <w:rFonts w:ascii="Arial"/>
                            </w:rPr>
                            <w:t> </w:t>
                          </w:r>
                          <w:r>
                            <w:rPr>
                              <w:rFonts w:ascii="Arial"/>
                              <w:spacing w:val="-2"/>
                            </w:rPr>
                            <w:t>reliability</w:t>
                          </w:r>
                          <w:r>
                            <w:rPr>
                              <w:rFonts w:ascii="Arial"/>
                              <w:spacing w:val="3"/>
                            </w:rPr>
                            <w:t> </w:t>
                          </w:r>
                          <w:r>
                            <w:rPr>
                              <w:rFonts w:ascii="Arial"/>
                              <w:spacing w:val="-2"/>
                            </w:rPr>
                            <w:t>and</w:t>
                          </w:r>
                          <w:r>
                            <w:rPr>
                              <w:rFonts w:ascii="Arial"/>
                              <w:spacing w:val="2"/>
                            </w:rPr>
                            <w:t> </w:t>
                          </w:r>
                          <w:r>
                            <w:rPr>
                              <w:rFonts w:ascii="Arial"/>
                              <w:spacing w:val="-2"/>
                            </w:rPr>
                            <w:t>representativeness_Q4_Y2</w:t>
                          </w:r>
                          <w:r>
                            <w:rPr>
                              <w:rFonts w:ascii="Arial"/>
                              <w:spacing w:val="2"/>
                            </w:rPr>
                            <w:t> </w:t>
                          </w:r>
                          <w:r>
                            <w:rPr>
                              <w:rFonts w:ascii="Arial"/>
                              <w:spacing w:val="-2"/>
                            </w:rPr>
                            <w:t>March</w:t>
                          </w:r>
                          <w:r>
                            <w:rPr>
                              <w:rFonts w:ascii="Arial"/>
                              <w:spacing w:val="1"/>
                            </w:rPr>
                            <w:t> </w:t>
                          </w:r>
                          <w:r>
                            <w:rPr>
                              <w:rFonts w:ascii="Arial"/>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92.255432pt;width:382.65pt;height:15.4pt;mso-position-horizontal-relative:page;mso-position-vertical-relative:page;z-index:-15986176" type="#_x0000_t202" id="docshape1" filled="false" stroked="false">
              <v:textbox inset="0,0,0,0">
                <w:txbxContent>
                  <w:p>
                    <w:pPr>
                      <w:pStyle w:val="BodyText"/>
                      <w:spacing w:before="30"/>
                      <w:ind w:left="20"/>
                      <w:rPr>
                        <w:rFonts w:ascii="Arial"/>
                      </w:rPr>
                    </w:pPr>
                    <w:r>
                      <w:rPr>
                        <w:rFonts w:ascii="Arial"/>
                        <w:spacing w:val="-2"/>
                      </w:rPr>
                      <w:t>Curo</w:t>
                    </w:r>
                    <w:r>
                      <w:rPr>
                        <w:rFonts w:ascii="Arial"/>
                        <w:spacing w:val="1"/>
                      </w:rPr>
                      <w:t> </w:t>
                    </w:r>
                    <w:r>
                      <w:rPr>
                        <w:rFonts w:ascii="Arial"/>
                        <w:spacing w:val="-2"/>
                      </w:rPr>
                      <w:t>TSM_Statement</w:t>
                    </w:r>
                    <w:r>
                      <w:rPr>
                        <w:rFonts w:ascii="Arial"/>
                        <w:spacing w:val="2"/>
                      </w:rPr>
                      <w:t> </w:t>
                    </w:r>
                    <w:r>
                      <w:rPr>
                        <w:rFonts w:ascii="Arial"/>
                        <w:spacing w:val="-2"/>
                      </w:rPr>
                      <w:t>of</w:t>
                    </w:r>
                    <w:r>
                      <w:rPr>
                        <w:rFonts w:ascii="Arial"/>
                      </w:rPr>
                      <w:t> </w:t>
                    </w:r>
                    <w:r>
                      <w:rPr>
                        <w:rFonts w:ascii="Arial"/>
                        <w:spacing w:val="-2"/>
                      </w:rPr>
                      <w:t>reliability</w:t>
                    </w:r>
                    <w:r>
                      <w:rPr>
                        <w:rFonts w:ascii="Arial"/>
                        <w:spacing w:val="3"/>
                      </w:rPr>
                      <w:t> </w:t>
                    </w:r>
                    <w:r>
                      <w:rPr>
                        <w:rFonts w:ascii="Arial"/>
                        <w:spacing w:val="-2"/>
                      </w:rPr>
                      <w:t>and</w:t>
                    </w:r>
                    <w:r>
                      <w:rPr>
                        <w:rFonts w:ascii="Arial"/>
                        <w:spacing w:val="2"/>
                      </w:rPr>
                      <w:t> </w:t>
                    </w:r>
                    <w:r>
                      <w:rPr>
                        <w:rFonts w:ascii="Arial"/>
                        <w:spacing w:val="-2"/>
                      </w:rPr>
                      <w:t>representativeness_Q4_Y2</w:t>
                    </w:r>
                    <w:r>
                      <w:rPr>
                        <w:rFonts w:ascii="Arial"/>
                        <w:spacing w:val="2"/>
                      </w:rPr>
                      <w:t> </w:t>
                    </w:r>
                    <w:r>
                      <w:rPr>
                        <w:rFonts w:ascii="Arial"/>
                        <w:spacing w:val="-2"/>
                      </w:rPr>
                      <w:t>March</w:t>
                    </w:r>
                    <w:r>
                      <w:rPr>
                        <w:rFonts w:ascii="Arial"/>
                        <w:spacing w:val="1"/>
                      </w:rPr>
                      <w:t> </w:t>
                    </w:r>
                    <w:r>
                      <w:rPr>
                        <w:rFonts w:ascii="Arial"/>
                        <w:spacing w:val="-4"/>
                      </w:rPr>
                      <w:t>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383" w:hanging="360"/>
        <w:jc w:val="left"/>
      </w:pPr>
      <w:rPr>
        <w:rFonts w:hint="default" w:ascii="Verdana" w:hAnsi="Verdana" w:eastAsia="Verdana" w:cs="Verdana"/>
        <w:b/>
        <w:bCs/>
        <w:i w:val="0"/>
        <w:iCs w:val="0"/>
        <w:spacing w:val="-2"/>
        <w:w w:val="100"/>
        <w:sz w:val="22"/>
        <w:szCs w:val="22"/>
        <w:lang w:val="en-US" w:eastAsia="en-US" w:bidi="ar-SA"/>
      </w:rPr>
    </w:lvl>
    <w:lvl w:ilvl="1">
      <w:start w:val="0"/>
      <w:numFmt w:val="bullet"/>
      <w:lvlText w:val="•"/>
      <w:lvlJc w:val="left"/>
      <w:pPr>
        <w:ind w:left="1263" w:hanging="360"/>
      </w:pPr>
      <w:rPr>
        <w:rFonts w:hint="default"/>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3030"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797"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564" w:hanging="360"/>
      </w:pPr>
      <w:rPr>
        <w:rFonts w:hint="default"/>
        <w:lang w:val="en-US" w:eastAsia="en-US" w:bidi="ar-SA"/>
      </w:rPr>
    </w:lvl>
    <w:lvl w:ilvl="8">
      <w:start w:val="0"/>
      <w:numFmt w:val="bullet"/>
      <w:lvlText w:val="•"/>
      <w:lvlJc w:val="left"/>
      <w:pPr>
        <w:ind w:left="744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2"/>
      <w:szCs w:val="22"/>
      <w:lang w:val="en-US" w:eastAsia="en-US" w:bidi="ar-SA"/>
    </w:rPr>
  </w:style>
  <w:style w:styleId="Heading1" w:type="paragraph">
    <w:name w:val="Heading 1"/>
    <w:basedOn w:val="Normal"/>
    <w:uiPriority w:val="1"/>
    <w:qFormat/>
    <w:pPr>
      <w:ind w:left="382" w:hanging="359"/>
      <w:jc w:val="both"/>
      <w:outlineLvl w:val="1"/>
    </w:pPr>
    <w:rPr>
      <w:rFonts w:ascii="Verdana" w:hAnsi="Verdana" w:eastAsia="Verdana" w:cs="Verdana"/>
      <w:b/>
      <w:bCs/>
      <w:sz w:val="22"/>
      <w:szCs w:val="22"/>
      <w:lang w:val="en-US" w:eastAsia="en-US" w:bidi="ar-SA"/>
    </w:rPr>
  </w:style>
  <w:style w:styleId="Title" w:type="paragraph">
    <w:name w:val="Title"/>
    <w:basedOn w:val="Normal"/>
    <w:uiPriority w:val="1"/>
    <w:qFormat/>
    <w:pPr>
      <w:spacing w:before="82"/>
      <w:ind w:left="23"/>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ind w:left="382" w:hanging="359"/>
      <w:jc w:val="both"/>
    </w:pPr>
    <w:rPr>
      <w:rFonts w:ascii="Verdana" w:hAnsi="Verdana" w:eastAsia="Verdana" w:cs="Verdana"/>
      <w:lang w:val="en-US" w:eastAsia="en-US" w:bidi="ar-SA"/>
    </w:rPr>
  </w:style>
  <w:style w:styleId="TableParagraph" w:type="paragraph">
    <w:name w:val="Table Paragraph"/>
    <w:basedOn w:val="Normal"/>
    <w:uiPriority w:val="1"/>
    <w:qFormat/>
    <w:pPr>
      <w:spacing w:before="9" w:line="237" w:lineRule="exact"/>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assets.publishing.service.gov.uk/media/632af26de90e07371e5e585c/20220913_Annex5_TSM_Tenant-Survey-Requirements.pdf" TargetMode="Externa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wynned</dc:creator>
  <dcterms:created xsi:type="dcterms:W3CDTF">2025-08-21T13:02:29Z</dcterms:created>
  <dcterms:modified xsi:type="dcterms:W3CDTF">2025-08-21T13:02:29Z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ies>
</file>