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i w:val="0"/>
        </w:rPr>
      </w:pPr>
      <w:r>
        <w:rPr>
          <w:rFonts w:ascii="Times New Roman"/>
          <w:i w:val="0"/>
        </w:rPr>
        <w:drawing>
          <wp:inline distT="0" distB="0" distL="0" distR="0">
            <wp:extent cx="857871" cy="852106"/>
            <wp:effectExtent l="0" t="0" r="0" b="0"/>
            <wp:docPr id="1" name="Image 1" descr="A green circle with white text  Description automatically generated "/>
            <wp:cNvGraphicFramePr>
              <a:graphicFrameLocks/>
            </wp:cNvGraphicFramePr>
            <a:graphic>
              <a:graphicData uri="http://schemas.openxmlformats.org/drawingml/2006/picture">
                <pic:pic>
                  <pic:nvPicPr>
                    <pic:cNvPr id="1" name="Image 1" descr="A green circle with white text  Description automatically generated "/>
                    <pic:cNvPicPr/>
                  </pic:nvPicPr>
                  <pic:blipFill>
                    <a:blip r:embed="rId5" cstate="print"/>
                    <a:stretch>
                      <a:fillRect/>
                    </a:stretch>
                  </pic:blipFill>
                  <pic:spPr>
                    <a:xfrm>
                      <a:off x="0" y="0"/>
                      <a:ext cx="857871" cy="852106"/>
                    </a:xfrm>
                    <a:prstGeom prst="rect">
                      <a:avLst/>
                    </a:prstGeom>
                  </pic:spPr>
                </pic:pic>
              </a:graphicData>
            </a:graphic>
          </wp:inline>
        </w:drawing>
      </w:r>
      <w:r>
        <w:rPr>
          <w:rFonts w:ascii="Times New Roman"/>
          <w:i w:val="0"/>
        </w:rPr>
      </w:r>
    </w:p>
    <w:p>
      <w:pPr>
        <w:pStyle w:val="BodyText"/>
        <w:spacing w:before="294"/>
        <w:ind w:left="0"/>
        <w:rPr>
          <w:rFonts w:ascii="Times New Roman"/>
          <w:i w:val="0"/>
          <w:sz w:val="28"/>
        </w:rPr>
      </w:pPr>
    </w:p>
    <w:p>
      <w:pPr>
        <w:pStyle w:val="Title"/>
      </w:pPr>
      <w:r>
        <w:rPr/>
        <w:t>Board</w:t>
      </w:r>
      <w:r>
        <w:rPr>
          <w:spacing w:val="-8"/>
        </w:rPr>
        <w:t> </w:t>
      </w:r>
      <w:r>
        <w:rPr/>
        <w:t>response</w:t>
      </w:r>
      <w:r>
        <w:rPr>
          <w:spacing w:val="-9"/>
        </w:rPr>
        <w:t> </w:t>
      </w:r>
      <w:r>
        <w:rPr/>
        <w:t>to</w:t>
      </w:r>
      <w:r>
        <w:rPr>
          <w:spacing w:val="-8"/>
        </w:rPr>
        <w:t> </w:t>
      </w:r>
      <w:r>
        <w:rPr/>
        <w:t>Annual</w:t>
      </w:r>
      <w:r>
        <w:rPr>
          <w:spacing w:val="-8"/>
        </w:rPr>
        <w:t> </w:t>
      </w:r>
      <w:r>
        <w:rPr/>
        <w:t>Complaints and Service Improvement Report</w:t>
      </w:r>
    </w:p>
    <w:p>
      <w:pPr>
        <w:pStyle w:val="BodyText"/>
        <w:spacing w:before="266"/>
      </w:pPr>
      <w:r>
        <w:rPr>
          <w:i/>
        </w:rPr>
        <w:t>The</w:t>
      </w:r>
      <w:r>
        <w:rPr>
          <w:i/>
          <w:spacing w:val="-5"/>
        </w:rPr>
        <w:t> </w:t>
      </w:r>
      <w:r>
        <w:rPr>
          <w:i/>
        </w:rPr>
        <w:t>Board</w:t>
      </w:r>
      <w:r>
        <w:rPr>
          <w:i/>
          <w:spacing w:val="-1"/>
        </w:rPr>
        <w:t> </w:t>
      </w:r>
      <w:r>
        <w:rPr>
          <w:i/>
        </w:rPr>
        <w:t>welcomes</w:t>
      </w:r>
      <w:r>
        <w:rPr>
          <w:i/>
          <w:spacing w:val="-2"/>
        </w:rPr>
        <w:t> </w:t>
      </w:r>
      <w:r>
        <w:rPr>
          <w:i/>
        </w:rPr>
        <w:t>this</w:t>
      </w:r>
      <w:r>
        <w:rPr>
          <w:i/>
          <w:spacing w:val="-5"/>
        </w:rPr>
        <w:t> </w:t>
      </w:r>
      <w:r>
        <w:rPr>
          <w:i/>
        </w:rPr>
        <w:t>report,</w:t>
      </w:r>
      <w:r>
        <w:rPr>
          <w:i/>
          <w:spacing w:val="-2"/>
        </w:rPr>
        <w:t> </w:t>
      </w:r>
      <w:r>
        <w:rPr>
          <w:i/>
        </w:rPr>
        <w:t>and</w:t>
      </w:r>
      <w:r>
        <w:rPr>
          <w:i/>
          <w:spacing w:val="-4"/>
        </w:rPr>
        <w:t> </w:t>
      </w:r>
      <w:r>
        <w:rPr>
          <w:i/>
        </w:rPr>
        <w:t>the</w:t>
      </w:r>
      <w:r>
        <w:rPr>
          <w:i/>
          <w:spacing w:val="-3"/>
        </w:rPr>
        <w:t> </w:t>
      </w:r>
      <w:r>
        <w:rPr>
          <w:i/>
        </w:rPr>
        <w:t>opportunity</w:t>
      </w:r>
      <w:r>
        <w:rPr>
          <w:i/>
          <w:spacing w:val="-4"/>
        </w:rPr>
        <w:t> </w:t>
      </w:r>
      <w:r>
        <w:rPr>
          <w:i/>
        </w:rPr>
        <w:t>to</w:t>
      </w:r>
      <w:r>
        <w:rPr>
          <w:i/>
          <w:spacing w:val="-5"/>
        </w:rPr>
        <w:t> </w:t>
      </w:r>
      <w:r>
        <w:rPr>
          <w:i/>
        </w:rPr>
        <w:t>explain</w:t>
      </w:r>
      <w:r>
        <w:rPr>
          <w:i/>
          <w:spacing w:val="-3"/>
        </w:rPr>
        <w:t> </w:t>
      </w:r>
      <w:r>
        <w:rPr>
          <w:i/>
        </w:rPr>
        <w:t>to</w:t>
      </w:r>
      <w:r>
        <w:rPr>
          <w:i/>
          <w:spacing w:val="-5"/>
        </w:rPr>
        <w:t> </w:t>
      </w:r>
      <w:r>
        <w:rPr>
          <w:i/>
        </w:rPr>
        <w:t>our</w:t>
      </w:r>
      <w:r>
        <w:rPr>
          <w:i/>
          <w:spacing w:val="-5"/>
        </w:rPr>
        <w:t> </w:t>
      </w:r>
      <w:r>
        <w:rPr>
          <w:i/>
        </w:rPr>
        <w:t>customers</w:t>
      </w:r>
      <w:r>
        <w:rPr>
          <w:i/>
          <w:spacing w:val="-2"/>
        </w:rPr>
        <w:t> </w:t>
      </w:r>
      <w:r>
        <w:rPr>
          <w:i/>
        </w:rPr>
        <w:t>how</w:t>
      </w:r>
      <w:r>
        <w:rPr>
          <w:i/>
          <w:spacing w:val="-2"/>
        </w:rPr>
        <w:t> </w:t>
      </w:r>
      <w:r>
        <w:rPr>
          <w:i/>
        </w:rPr>
        <w:t>we</w:t>
      </w:r>
      <w:r>
        <w:rPr/>
        <w:t> are handling their complaints.</w:t>
      </w:r>
    </w:p>
    <w:p>
      <w:pPr>
        <w:pStyle w:val="BodyText"/>
        <w:spacing w:before="1"/>
        <w:ind w:left="0"/>
        <w:rPr>
          <w:i/>
        </w:rPr>
      </w:pPr>
    </w:p>
    <w:p>
      <w:pPr>
        <w:pStyle w:val="BodyText"/>
        <w:ind w:right="128"/>
      </w:pPr>
      <w:r>
        <w:rPr>
          <w:i/>
        </w:rPr>
        <w:t>During</w:t>
      </w:r>
      <w:r>
        <w:rPr>
          <w:i/>
          <w:spacing w:val="-3"/>
        </w:rPr>
        <w:t> </w:t>
      </w:r>
      <w:r>
        <w:rPr>
          <w:i/>
        </w:rPr>
        <w:t>2023/24</w:t>
      </w:r>
      <w:r>
        <w:rPr>
          <w:i/>
          <w:spacing w:val="-4"/>
        </w:rPr>
        <w:t> </w:t>
      </w:r>
      <w:r>
        <w:rPr>
          <w:i/>
        </w:rPr>
        <w:t>we</w:t>
      </w:r>
      <w:r>
        <w:rPr>
          <w:i/>
          <w:spacing w:val="-5"/>
        </w:rPr>
        <w:t> </w:t>
      </w:r>
      <w:r>
        <w:rPr>
          <w:i/>
        </w:rPr>
        <w:t>have</w:t>
      </w:r>
      <w:r>
        <w:rPr>
          <w:i/>
          <w:spacing w:val="-5"/>
        </w:rPr>
        <w:t> </w:t>
      </w:r>
      <w:r>
        <w:rPr>
          <w:i/>
        </w:rPr>
        <w:t>been</w:t>
      </w:r>
      <w:r>
        <w:rPr>
          <w:i/>
          <w:spacing w:val="-1"/>
        </w:rPr>
        <w:t> </w:t>
      </w:r>
      <w:r>
        <w:rPr>
          <w:i/>
        </w:rPr>
        <w:t>considering</w:t>
      </w:r>
      <w:r>
        <w:rPr>
          <w:i/>
          <w:spacing w:val="-3"/>
        </w:rPr>
        <w:t> </w:t>
      </w:r>
      <w:r>
        <w:rPr>
          <w:i/>
        </w:rPr>
        <w:t>complaints</w:t>
      </w:r>
      <w:r>
        <w:rPr>
          <w:i/>
          <w:spacing w:val="-5"/>
        </w:rPr>
        <w:t> </w:t>
      </w:r>
      <w:r>
        <w:rPr>
          <w:i/>
        </w:rPr>
        <w:t>performance</w:t>
      </w:r>
      <w:r>
        <w:rPr>
          <w:i/>
          <w:spacing w:val="-5"/>
        </w:rPr>
        <w:t> </w:t>
      </w:r>
      <w:r>
        <w:rPr>
          <w:i/>
        </w:rPr>
        <w:t>through</w:t>
      </w:r>
      <w:r>
        <w:rPr>
          <w:i/>
          <w:spacing w:val="-3"/>
        </w:rPr>
        <w:t> </w:t>
      </w:r>
      <w:r>
        <w:rPr>
          <w:i/>
        </w:rPr>
        <w:t>our</w:t>
      </w:r>
      <w:r>
        <w:rPr>
          <w:i/>
          <w:spacing w:val="-5"/>
        </w:rPr>
        <w:t> </w:t>
      </w:r>
      <w:r>
        <w:rPr>
          <w:i/>
        </w:rPr>
        <w:t>quarterly</w:t>
      </w:r>
      <w:r>
        <w:rPr/>
        <w:t> performance reports, including the results of customer surveys on satisfaction with complaints. We have also received additional updates as needed from Curo’s CEO (who</w:t>
      </w:r>
      <w:r>
        <w:rPr>
          <w:spacing w:val="40"/>
        </w:rPr>
        <w:t> </w:t>
      </w:r>
      <w:r>
        <w:rPr/>
        <w:t>is a full Board member and our Member Responsible for Complaints). We’ve also heard feedback directly from customers themselves: including structured feedback from the Customer Oversight Group; and more informal feedback from customers through events like ‘Board Connect’ (where customers join a Board meeting to discuss their experiences with us) and discussions at Curo’s annual Big Get Together. Thank you to all of our customers who have taken the time to let us know how they feel about complaints, and Curo’s services more generally.</w:t>
      </w:r>
    </w:p>
    <w:p>
      <w:pPr>
        <w:pStyle w:val="BodyText"/>
        <w:ind w:left="0"/>
        <w:rPr>
          <w:i/>
        </w:rPr>
      </w:pPr>
    </w:p>
    <w:p>
      <w:pPr>
        <w:pStyle w:val="BodyText"/>
        <w:ind w:right="166"/>
      </w:pPr>
      <w:r>
        <w:rPr>
          <w:i/>
        </w:rPr>
        <w:t>This report reinforces what we have heard throughout the year. Customers want us to</w:t>
      </w:r>
      <w:r>
        <w:rPr/>
        <w:t> resolve their issues more quickly, deliver on our promises more consistently, and improve communication during a complaint. While we recognise and understand the challenges our operational teams have faced throughout the year, with backlogs in our repairs</w:t>
      </w:r>
      <w:r>
        <w:rPr>
          <w:spacing w:val="-5"/>
        </w:rPr>
        <w:t> </w:t>
      </w:r>
      <w:r>
        <w:rPr/>
        <w:t>and</w:t>
      </w:r>
      <w:r>
        <w:rPr>
          <w:spacing w:val="-4"/>
        </w:rPr>
        <w:t> </w:t>
      </w:r>
      <w:r>
        <w:rPr/>
        <w:t>maintenance</w:t>
      </w:r>
      <w:r>
        <w:rPr>
          <w:spacing w:val="-5"/>
        </w:rPr>
        <w:t> </w:t>
      </w:r>
      <w:r>
        <w:rPr/>
        <w:t>areas</w:t>
      </w:r>
      <w:r>
        <w:rPr>
          <w:spacing w:val="-5"/>
        </w:rPr>
        <w:t> </w:t>
      </w:r>
      <w:r>
        <w:rPr/>
        <w:t>particularly</w:t>
      </w:r>
      <w:r>
        <w:rPr>
          <w:spacing w:val="-2"/>
        </w:rPr>
        <w:t> </w:t>
      </w:r>
      <w:r>
        <w:rPr/>
        <w:t>significant,</w:t>
      </w:r>
      <w:r>
        <w:rPr>
          <w:spacing w:val="-5"/>
        </w:rPr>
        <w:t> </w:t>
      </w:r>
      <w:r>
        <w:rPr/>
        <w:t>we</w:t>
      </w:r>
      <w:r>
        <w:rPr>
          <w:spacing w:val="-5"/>
        </w:rPr>
        <w:t> </w:t>
      </w:r>
      <w:r>
        <w:rPr/>
        <w:t>expect</w:t>
      </w:r>
      <w:r>
        <w:rPr>
          <w:spacing w:val="-3"/>
        </w:rPr>
        <w:t> </w:t>
      </w:r>
      <w:r>
        <w:rPr/>
        <w:t>to</w:t>
      </w:r>
      <w:r>
        <w:rPr>
          <w:spacing w:val="-3"/>
        </w:rPr>
        <w:t> </w:t>
      </w:r>
      <w:r>
        <w:rPr/>
        <w:t>see</w:t>
      </w:r>
      <w:r>
        <w:rPr>
          <w:spacing w:val="-3"/>
        </w:rPr>
        <w:t> </w:t>
      </w:r>
      <w:r>
        <w:rPr/>
        <w:t>improvement</w:t>
      </w:r>
      <w:r>
        <w:rPr>
          <w:spacing w:val="-4"/>
        </w:rPr>
        <w:t> </w:t>
      </w:r>
      <w:r>
        <w:rPr/>
        <w:t>in our resolution times (particularly in Stage 2) and in Curo’s overall approach to complaints handling. We have made this clear to our Executive team and endorse their plans for improvement in the year ahead.</w:t>
      </w:r>
    </w:p>
    <w:p>
      <w:pPr>
        <w:pStyle w:val="BodyText"/>
        <w:spacing w:before="242"/>
        <w:ind w:right="166"/>
      </w:pPr>
      <w:r>
        <w:rPr>
          <w:i/>
        </w:rPr>
        <w:t>We</w:t>
      </w:r>
      <w:r>
        <w:rPr>
          <w:i/>
          <w:spacing w:val="-2"/>
        </w:rPr>
        <w:t> </w:t>
      </w:r>
      <w:r>
        <w:rPr>
          <w:i/>
        </w:rPr>
        <w:t>are</w:t>
      </w:r>
      <w:r>
        <w:rPr>
          <w:i/>
          <w:spacing w:val="-3"/>
        </w:rPr>
        <w:t> </w:t>
      </w:r>
      <w:r>
        <w:rPr>
          <w:i/>
        </w:rPr>
        <w:t>also</w:t>
      </w:r>
      <w:r>
        <w:rPr>
          <w:i/>
          <w:spacing w:val="-3"/>
        </w:rPr>
        <w:t> </w:t>
      </w:r>
      <w:r>
        <w:rPr>
          <w:i/>
        </w:rPr>
        <w:t>actively</w:t>
      </w:r>
      <w:r>
        <w:rPr>
          <w:i/>
          <w:spacing w:val="-1"/>
        </w:rPr>
        <w:t> </w:t>
      </w:r>
      <w:r>
        <w:rPr>
          <w:i/>
        </w:rPr>
        <w:t>considering</w:t>
      </w:r>
      <w:r>
        <w:rPr>
          <w:i/>
          <w:spacing w:val="-2"/>
        </w:rPr>
        <w:t> </w:t>
      </w:r>
      <w:r>
        <w:rPr>
          <w:i/>
        </w:rPr>
        <w:t>the</w:t>
      </w:r>
      <w:r>
        <w:rPr>
          <w:i/>
          <w:spacing w:val="-2"/>
        </w:rPr>
        <w:t> </w:t>
      </w:r>
      <w:r>
        <w:rPr>
          <w:i/>
        </w:rPr>
        <w:t>Board’s</w:t>
      </w:r>
      <w:r>
        <w:rPr>
          <w:i/>
          <w:spacing w:val="-1"/>
        </w:rPr>
        <w:t> </w:t>
      </w:r>
      <w:r>
        <w:rPr>
          <w:i/>
        </w:rPr>
        <w:t>own</w:t>
      </w:r>
      <w:r>
        <w:rPr>
          <w:i/>
          <w:spacing w:val="-2"/>
        </w:rPr>
        <w:t> </w:t>
      </w:r>
      <w:r>
        <w:rPr>
          <w:i/>
        </w:rPr>
        <w:t>role</w:t>
      </w:r>
      <w:r>
        <w:rPr>
          <w:i/>
          <w:spacing w:val="-3"/>
        </w:rPr>
        <w:t> </w:t>
      </w:r>
      <w:r>
        <w:rPr>
          <w:i/>
        </w:rPr>
        <w:t>in</w:t>
      </w:r>
      <w:r>
        <w:rPr>
          <w:i/>
          <w:spacing w:val="-2"/>
        </w:rPr>
        <w:t> </w:t>
      </w:r>
      <w:r>
        <w:rPr>
          <w:i/>
        </w:rPr>
        <w:t>complaints,</w:t>
      </w:r>
      <w:r>
        <w:rPr>
          <w:i/>
          <w:spacing w:val="-3"/>
        </w:rPr>
        <w:t> </w:t>
      </w:r>
      <w:r>
        <w:rPr>
          <w:i/>
        </w:rPr>
        <w:t>and</w:t>
      </w:r>
      <w:r>
        <w:rPr>
          <w:i/>
          <w:spacing w:val="-2"/>
        </w:rPr>
        <w:t> </w:t>
      </w:r>
      <w:r>
        <w:rPr>
          <w:i/>
        </w:rPr>
        <w:t>how</w:t>
      </w:r>
      <w:r>
        <w:rPr>
          <w:i/>
          <w:spacing w:val="-2"/>
        </w:rPr>
        <w:t> </w:t>
      </w:r>
      <w:r>
        <w:rPr>
          <w:i/>
        </w:rPr>
        <w:t>customer’s</w:t>
      </w:r>
      <w:r>
        <w:rPr/>
        <w:t> voices and experiences can continue to influence our discussions and decision-making. At the time of writing, we are considering creating a Customer Experience Committee of the</w:t>
      </w:r>
      <w:r>
        <w:rPr>
          <w:spacing w:val="-4"/>
        </w:rPr>
        <w:t> </w:t>
      </w:r>
      <w:r>
        <w:rPr/>
        <w:t>Board.</w:t>
      </w:r>
      <w:r>
        <w:rPr>
          <w:spacing w:val="-1"/>
        </w:rPr>
        <w:t> </w:t>
      </w:r>
      <w:r>
        <w:rPr/>
        <w:t>This</w:t>
      </w:r>
      <w:r>
        <w:rPr>
          <w:spacing w:val="-4"/>
        </w:rPr>
        <w:t> </w:t>
      </w:r>
      <w:r>
        <w:rPr/>
        <w:t>would</w:t>
      </w:r>
      <w:r>
        <w:rPr>
          <w:spacing w:val="-3"/>
        </w:rPr>
        <w:t> </w:t>
      </w:r>
      <w:r>
        <w:rPr/>
        <w:t>report</w:t>
      </w:r>
      <w:r>
        <w:rPr>
          <w:spacing w:val="-2"/>
        </w:rPr>
        <w:t> </w:t>
      </w:r>
      <w:r>
        <w:rPr/>
        <w:t>directly</w:t>
      </w:r>
      <w:r>
        <w:rPr>
          <w:spacing w:val="-1"/>
        </w:rPr>
        <w:t> </w:t>
      </w:r>
      <w:r>
        <w:rPr/>
        <w:t>to</w:t>
      </w:r>
      <w:r>
        <w:rPr>
          <w:spacing w:val="-4"/>
        </w:rPr>
        <w:t> </w:t>
      </w:r>
      <w:r>
        <w:rPr/>
        <w:t>the</w:t>
      </w:r>
      <w:r>
        <w:rPr>
          <w:spacing w:val="-2"/>
        </w:rPr>
        <w:t> </w:t>
      </w:r>
      <w:r>
        <w:rPr/>
        <w:t>Board</w:t>
      </w:r>
      <w:r>
        <w:rPr>
          <w:spacing w:val="-3"/>
        </w:rPr>
        <w:t> </w:t>
      </w:r>
      <w:r>
        <w:rPr/>
        <w:t>and</w:t>
      </w:r>
      <w:r>
        <w:rPr>
          <w:spacing w:val="-3"/>
        </w:rPr>
        <w:t> </w:t>
      </w:r>
      <w:r>
        <w:rPr/>
        <w:t>will</w:t>
      </w:r>
      <w:r>
        <w:rPr>
          <w:spacing w:val="-3"/>
        </w:rPr>
        <w:t> </w:t>
      </w:r>
      <w:r>
        <w:rPr/>
        <w:t>provide</w:t>
      </w:r>
      <w:r>
        <w:rPr>
          <w:spacing w:val="-4"/>
        </w:rPr>
        <w:t> </w:t>
      </w:r>
      <w:r>
        <w:rPr/>
        <w:t>additional</w:t>
      </w:r>
      <w:r>
        <w:rPr>
          <w:spacing w:val="-3"/>
        </w:rPr>
        <w:t> </w:t>
      </w:r>
      <w:r>
        <w:rPr/>
        <w:t>opportunity for scrutiny of complaints performance, learning more from the complaints we receive, and oversight of planned improvements to complaints handling. The Committee is likely to launch after the summer this year.</w:t>
      </w:r>
    </w:p>
    <w:p>
      <w:pPr>
        <w:pStyle w:val="BodyText"/>
        <w:ind w:left="0"/>
        <w:rPr>
          <w:i/>
        </w:rPr>
      </w:pPr>
    </w:p>
    <w:p>
      <w:pPr>
        <w:pStyle w:val="BodyText"/>
        <w:rPr>
          <w:i/>
        </w:rPr>
      </w:pPr>
      <w:r>
        <w:rPr>
          <w:i/>
        </w:rPr>
        <w:t>Jane</w:t>
      </w:r>
      <w:r>
        <w:rPr>
          <w:i/>
          <w:spacing w:val="-6"/>
        </w:rPr>
        <w:t> </w:t>
      </w:r>
      <w:r>
        <w:rPr>
          <w:i/>
          <w:spacing w:val="-2"/>
        </w:rPr>
        <w:t>Tabor</w:t>
      </w:r>
    </w:p>
    <w:p>
      <w:pPr>
        <w:pStyle w:val="BodyText"/>
        <w:spacing w:line="243" w:lineRule="exact" w:before="2"/>
        <w:rPr>
          <w:i/>
        </w:rPr>
      </w:pPr>
      <w:r>
        <w:rPr>
          <w:i/>
        </w:rPr>
        <w:t>Chair</w:t>
      </w:r>
      <w:r>
        <w:rPr>
          <w:i/>
          <w:spacing w:val="-5"/>
        </w:rPr>
        <w:t> </w:t>
      </w:r>
      <w:r>
        <w:rPr>
          <w:i/>
        </w:rPr>
        <w:t>of</w:t>
      </w:r>
      <w:r>
        <w:rPr>
          <w:i/>
          <w:spacing w:val="-4"/>
        </w:rPr>
        <w:t> </w:t>
      </w:r>
      <w:r>
        <w:rPr>
          <w:i/>
        </w:rPr>
        <w:t>the</w:t>
      </w:r>
      <w:r>
        <w:rPr>
          <w:i/>
          <w:spacing w:val="-3"/>
        </w:rPr>
        <w:t> </w:t>
      </w:r>
      <w:r>
        <w:rPr>
          <w:i/>
          <w:spacing w:val="-2"/>
        </w:rPr>
        <w:t>Board,</w:t>
      </w:r>
    </w:p>
    <w:p>
      <w:pPr>
        <w:pStyle w:val="BodyText"/>
        <w:ind w:right="5878"/>
      </w:pPr>
      <w:r>
        <w:rPr>
          <w:i/>
        </w:rPr>
        <w:t>Curo</w:t>
      </w:r>
      <w:r>
        <w:rPr>
          <w:i/>
          <w:spacing w:val="-12"/>
        </w:rPr>
        <w:t> </w:t>
      </w:r>
      <w:r>
        <w:rPr>
          <w:i/>
        </w:rPr>
        <w:t>Group</w:t>
      </w:r>
      <w:r>
        <w:rPr>
          <w:i/>
          <w:spacing w:val="-13"/>
        </w:rPr>
        <w:t> </w:t>
      </w:r>
      <w:r>
        <w:rPr>
          <w:i/>
        </w:rPr>
        <w:t>(Albion)</w:t>
      </w:r>
      <w:r>
        <w:rPr>
          <w:i/>
          <w:spacing w:val="-12"/>
        </w:rPr>
        <w:t> </w:t>
      </w:r>
      <w:r>
        <w:rPr>
          <w:i/>
        </w:rPr>
        <w:t>Limited</w:t>
      </w:r>
      <w:r>
        <w:rPr/>
        <w:t> Curo Places Limited.</w:t>
      </w:r>
    </w:p>
    <w:sectPr>
      <w:type w:val="continuous"/>
      <w:pgSz w:w="11910" w:h="16840"/>
      <w:pgMar w:top="8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ind w:left="100"/>
    </w:pPr>
    <w:rPr>
      <w:rFonts w:ascii="Verdana" w:hAnsi="Verdana" w:eastAsia="Verdana" w:cs="Verdana"/>
      <w:i/>
      <w:iCs/>
      <w:sz w:val="20"/>
      <w:szCs w:val="20"/>
      <w:lang w:val="en-US" w:eastAsia="en-US" w:bidi="ar-SA"/>
    </w:rPr>
  </w:style>
  <w:style w:styleId="Title" w:type="paragraph">
    <w:name w:val="Title"/>
    <w:basedOn w:val="Normal"/>
    <w:uiPriority w:val="1"/>
    <w:qFormat/>
    <w:pPr>
      <w:ind w:left="100" w:right="2682"/>
    </w:pPr>
    <w:rPr>
      <w:rFonts w:ascii="Verdana" w:hAnsi="Verdana" w:eastAsia="Verdana" w:cs="Verdana"/>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Curo Group</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Harris</dc:creator>
  <dc:description/>
  <dcterms:created xsi:type="dcterms:W3CDTF">2024-10-16T15:34:45Z</dcterms:created>
  <dcterms:modified xsi:type="dcterms:W3CDTF">2024-10-16T15:34:45Z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Acrobat PDFMaker 23 for Word</vt:lpwstr>
  </property>
  <property fmtid="{D5CDD505-2E9C-101B-9397-08002B2CF9AE}" pid="4" name="LastSaved">
    <vt:filetime>2024-10-16T00:00:00Z</vt:filetime>
  </property>
  <property fmtid="{D5CDD505-2E9C-101B-9397-08002B2CF9AE}" pid="5" name="Producer">
    <vt:lpwstr>Adobe PDF Library 23.8.53</vt:lpwstr>
  </property>
  <property fmtid="{D5CDD505-2E9C-101B-9397-08002B2CF9AE}" pid="6" name="SourceModified">
    <vt:lpwstr>D:20240628144445</vt:lpwstr>
  </property>
</Properties>
</file>