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A4C77" w14:textId="2523F2E2" w:rsidR="00EC4BE4" w:rsidRDefault="009E112C" w:rsidP="00E91A5A">
      <w:pPr>
        <w:pStyle w:val="Heading1"/>
        <w:jc w:val="center"/>
      </w:pPr>
      <w:r>
        <w:t>Perception Survey – Summary of Approach</w:t>
      </w:r>
    </w:p>
    <w:p w14:paraId="282F24BF" w14:textId="77777777" w:rsidR="0034024B" w:rsidRDefault="0034024B" w:rsidP="00E91A5A">
      <w:pPr>
        <w:jc w:val="both"/>
        <w:rPr>
          <w:b/>
          <w:bCs/>
        </w:rPr>
      </w:pPr>
    </w:p>
    <w:p w14:paraId="55EAB04E" w14:textId="35E2A2E4" w:rsidR="0034024B" w:rsidRDefault="0034024B" w:rsidP="00E91A5A">
      <w:pPr>
        <w:jc w:val="both"/>
      </w:pPr>
      <w:r w:rsidRPr="00102C50">
        <w:t>A phased approach was used for the perception survey, with 4 periods of fieldwork spread throughout each quarter of the 2023/24 financial year</w:t>
      </w:r>
      <w:r w:rsidR="00BA4C37" w:rsidRPr="00102C50">
        <w:t xml:space="preserve"> (June, August, October </w:t>
      </w:r>
      <w:proofErr w:type="gramStart"/>
      <w:r w:rsidR="00BA4C37" w:rsidRPr="00102C50">
        <w:t>2023</w:t>
      </w:r>
      <w:proofErr w:type="gramEnd"/>
      <w:r w:rsidR="00BA4C37" w:rsidRPr="00102C50">
        <w:t xml:space="preserve"> and March 2024), from 5 June 2023 to 16 March 2024</w:t>
      </w:r>
      <w:r w:rsidR="00A97D5D" w:rsidRPr="00102C50">
        <w:t xml:space="preserve"> in all</w:t>
      </w:r>
      <w:r w:rsidRPr="00102C50">
        <w:t>. All surveys were carried out by a third party</w:t>
      </w:r>
      <w:r w:rsidR="00E91A5A">
        <w:t xml:space="preserve"> –</w:t>
      </w:r>
      <w:r w:rsidRPr="00102C50">
        <w:t xml:space="preserve"> </w:t>
      </w:r>
      <w:proofErr w:type="spellStart"/>
      <w:r w:rsidRPr="00102C50">
        <w:t>The</w:t>
      </w:r>
      <w:proofErr w:type="spellEnd"/>
      <w:r w:rsidRPr="00102C50">
        <w:t xml:space="preserve"> Leadership Factor (TLF). </w:t>
      </w:r>
      <w:r w:rsidR="00DF068B" w:rsidRPr="00102C50">
        <w:t xml:space="preserve">All responses are </w:t>
      </w:r>
      <w:proofErr w:type="gramStart"/>
      <w:r w:rsidR="00DF068B" w:rsidRPr="00102C50">
        <w:t>unweighted</w:t>
      </w:r>
      <w:proofErr w:type="gramEnd"/>
      <w:r w:rsidR="00DF068B" w:rsidRPr="00102C50">
        <w:t xml:space="preserve"> and no incentive scheme was used. Respondents were fully informed of the purpose of the questionnaire and opted in to taking part. TSM questions </w:t>
      </w:r>
      <w:r w:rsidR="00DF068B">
        <w:t>and routing followed regulatory requirements, with TSM scales used correctly. TLF research followed MRS guidelines.</w:t>
      </w:r>
    </w:p>
    <w:p w14:paraId="4AF8AD56" w14:textId="77777777" w:rsidR="00DF068B" w:rsidRDefault="00DF068B" w:rsidP="00E91A5A">
      <w:pPr>
        <w:jc w:val="both"/>
      </w:pPr>
    </w:p>
    <w:p w14:paraId="50675328" w14:textId="2A64E3D0" w:rsidR="00DF068B" w:rsidRDefault="00DF068B" w:rsidP="00E91A5A">
      <w:pPr>
        <w:jc w:val="both"/>
      </w:pPr>
      <w:r>
        <w:t xml:space="preserve">The total responses include all partial completions, where respondents have answered </w:t>
      </w:r>
      <w:r w:rsidR="00E91A5A">
        <w:t xml:space="preserve">the </w:t>
      </w:r>
      <w:r>
        <w:t>TP01</w:t>
      </w:r>
      <w:r w:rsidR="00E91A5A">
        <w:t xml:space="preserve"> metric question</w:t>
      </w:r>
      <w:r w:rsidR="00575FFA">
        <w:t>.</w:t>
      </w:r>
    </w:p>
    <w:p w14:paraId="2FF39369" w14:textId="77777777" w:rsidR="00DF068B" w:rsidRDefault="00DF068B" w:rsidP="00E91A5A">
      <w:pPr>
        <w:jc w:val="both"/>
      </w:pPr>
    </w:p>
    <w:p w14:paraId="56112867" w14:textId="4A2705BB" w:rsidR="00DF068B" w:rsidRPr="0034024B" w:rsidRDefault="00DF068B" w:rsidP="00E91A5A">
      <w:pPr>
        <w:jc w:val="both"/>
      </w:pPr>
      <w:r>
        <w:t>Percentage satisfied has been calculated excluding ‘Don’t know’ and ‘Not Answered.’</w:t>
      </w:r>
    </w:p>
    <w:p w14:paraId="431E7C85" w14:textId="77777777" w:rsidR="0034024B" w:rsidRPr="00102C50" w:rsidRDefault="0034024B" w:rsidP="00E91A5A">
      <w:pPr>
        <w:jc w:val="both"/>
      </w:pPr>
    </w:p>
    <w:p w14:paraId="26C41F70" w14:textId="5A5908C5" w:rsidR="009E112C" w:rsidRDefault="009E112C" w:rsidP="00E91A5A">
      <w:pPr>
        <w:jc w:val="both"/>
        <w:rPr>
          <w:b/>
          <w:bCs/>
        </w:rPr>
      </w:pPr>
      <w:proofErr w:type="gramStart"/>
      <w:r>
        <w:rPr>
          <w:b/>
          <w:bCs/>
        </w:rPr>
        <w:t>Low Cost</w:t>
      </w:r>
      <w:proofErr w:type="gramEnd"/>
      <w:r>
        <w:rPr>
          <w:b/>
          <w:bCs/>
        </w:rPr>
        <w:t xml:space="preserve"> Rental Accommodation </w:t>
      </w:r>
      <w:r w:rsidR="00E91A5A">
        <w:rPr>
          <w:b/>
          <w:bCs/>
        </w:rPr>
        <w:t xml:space="preserve">(LCRA) </w:t>
      </w:r>
      <w:r>
        <w:rPr>
          <w:b/>
          <w:bCs/>
        </w:rPr>
        <w:t xml:space="preserve">Survey </w:t>
      </w:r>
    </w:p>
    <w:p w14:paraId="6BBCF3B3" w14:textId="77777777" w:rsidR="0034024B" w:rsidRPr="00102C50" w:rsidRDefault="0034024B" w:rsidP="00E91A5A">
      <w:pPr>
        <w:jc w:val="both"/>
      </w:pPr>
    </w:p>
    <w:p w14:paraId="5FF6587F" w14:textId="7EC7E6E7" w:rsidR="00A97D5D" w:rsidRPr="00102C50" w:rsidRDefault="00A97D5D" w:rsidP="00E91A5A">
      <w:pPr>
        <w:jc w:val="both"/>
      </w:pPr>
      <w:r w:rsidRPr="00102C50">
        <w:t>Surveys were predominantly completed on the telephone (1039/1077 – 96.5%), with the remainder (29/1077 – 3.5%) conducted by post.</w:t>
      </w:r>
    </w:p>
    <w:p w14:paraId="10597FF4" w14:textId="77777777" w:rsidR="00A97D5D" w:rsidRPr="00102C50" w:rsidRDefault="00A97D5D" w:rsidP="00E91A5A">
      <w:pPr>
        <w:jc w:val="both"/>
      </w:pPr>
    </w:p>
    <w:p w14:paraId="0CFE6A82" w14:textId="73F777A9" w:rsidR="0034024B" w:rsidRDefault="00DF068B" w:rsidP="00E91A5A">
      <w:pPr>
        <w:jc w:val="both"/>
      </w:pPr>
      <w:r w:rsidRPr="00102C50">
        <w:t xml:space="preserve">A stratified sample was taken from Curo’s customer database </w:t>
      </w:r>
      <w:r>
        <w:t>to ensure representation of respondents was as close to the customer base as possible.</w:t>
      </w:r>
      <w:r w:rsidR="00575FFA">
        <w:t xml:space="preserve"> Quotas were set based on tenure type and age. 33.5% of tenants chose to remain anonymous.</w:t>
      </w:r>
    </w:p>
    <w:p w14:paraId="65A27CC9" w14:textId="77777777" w:rsidR="00964F24" w:rsidRDefault="00964F24" w:rsidP="00E91A5A">
      <w:pPr>
        <w:jc w:val="both"/>
      </w:pPr>
    </w:p>
    <w:p w14:paraId="22CD05AC" w14:textId="1767EE38" w:rsidR="00964F24" w:rsidRDefault="00964F24" w:rsidP="00E91A5A">
      <w:pPr>
        <w:jc w:val="both"/>
      </w:pPr>
      <w:r>
        <w:t>As of the end of fieldwork, statistical accuracy of LCRA responses was ±2.8% against a target of ±3%.</w:t>
      </w:r>
    </w:p>
    <w:p w14:paraId="06A7475F" w14:textId="77777777" w:rsidR="00C94F45" w:rsidRDefault="00C94F45" w:rsidP="00E91A5A">
      <w:pPr>
        <w:jc w:val="both"/>
      </w:pPr>
    </w:p>
    <w:p w14:paraId="7F5981E1" w14:textId="50A875D1" w:rsidR="00C94F45" w:rsidRDefault="00C94F45" w:rsidP="00E91A5A">
      <w:pPr>
        <w:jc w:val="both"/>
      </w:pPr>
      <w:r>
        <w:t>A breakdown of sample vs database can be found below:</w:t>
      </w:r>
    </w:p>
    <w:p w14:paraId="6D73C023" w14:textId="77777777" w:rsidR="00C94F45" w:rsidRPr="00C94F45" w:rsidRDefault="00C94F45" w:rsidP="00E91A5A">
      <w:pPr>
        <w:pStyle w:val="Heading4"/>
        <w:jc w:val="both"/>
        <w:rPr>
          <w:i w:val="0"/>
          <w:iCs w:val="0"/>
          <w:u w:val="single"/>
        </w:rPr>
      </w:pPr>
      <w:r w:rsidRPr="00C94F45">
        <w:rPr>
          <w:i w:val="0"/>
          <w:iCs w:val="0"/>
          <w:u w:val="single"/>
        </w:rPr>
        <w:t>Representativeness</w:t>
      </w:r>
    </w:p>
    <w:p w14:paraId="62D5905F" w14:textId="77777777" w:rsidR="00C94F45" w:rsidRDefault="00C94F45" w:rsidP="00E91A5A">
      <w:pPr>
        <w:jc w:val="both"/>
      </w:pPr>
    </w:p>
    <w:tbl>
      <w:tblPr>
        <w:tblStyle w:val="TableGrid"/>
        <w:tblW w:w="9209" w:type="dxa"/>
        <w:tblLook w:val="04A0" w:firstRow="1" w:lastRow="0" w:firstColumn="1" w:lastColumn="0" w:noHBand="0" w:noVBand="1"/>
      </w:tblPr>
      <w:tblGrid>
        <w:gridCol w:w="4768"/>
        <w:gridCol w:w="1405"/>
        <w:gridCol w:w="1513"/>
        <w:gridCol w:w="1523"/>
      </w:tblGrid>
      <w:tr w:rsidR="00C94F45" w:rsidRPr="00694C46" w14:paraId="75024EFB" w14:textId="77777777" w:rsidTr="00C94F45">
        <w:trPr>
          <w:trHeight w:val="304"/>
        </w:trPr>
        <w:tc>
          <w:tcPr>
            <w:tcW w:w="4768" w:type="dxa"/>
            <w:noWrap/>
            <w:hideMark/>
          </w:tcPr>
          <w:p w14:paraId="36108B11" w14:textId="77777777" w:rsidR="00C94F45" w:rsidRPr="00694C46" w:rsidRDefault="00C94F45" w:rsidP="00E91A5A">
            <w:pPr>
              <w:jc w:val="both"/>
              <w:rPr>
                <w:b/>
                <w:bCs/>
              </w:rPr>
            </w:pPr>
            <w:r w:rsidRPr="00694C46">
              <w:rPr>
                <w:b/>
                <w:bCs/>
              </w:rPr>
              <w:t>Tenure</w:t>
            </w:r>
          </w:p>
        </w:tc>
        <w:tc>
          <w:tcPr>
            <w:tcW w:w="1405" w:type="dxa"/>
            <w:noWrap/>
            <w:hideMark/>
          </w:tcPr>
          <w:p w14:paraId="33B3DD00" w14:textId="77777777" w:rsidR="00C94F45" w:rsidRPr="00694C46" w:rsidRDefault="00C94F45" w:rsidP="00E91A5A">
            <w:pPr>
              <w:jc w:val="both"/>
            </w:pPr>
            <w:r w:rsidRPr="00694C46">
              <w:t>Sample</w:t>
            </w:r>
          </w:p>
        </w:tc>
        <w:tc>
          <w:tcPr>
            <w:tcW w:w="1513" w:type="dxa"/>
            <w:noWrap/>
            <w:hideMark/>
          </w:tcPr>
          <w:p w14:paraId="163209F7" w14:textId="77777777" w:rsidR="00C94F45" w:rsidRPr="00694C46" w:rsidRDefault="00C94F45" w:rsidP="00E91A5A">
            <w:pPr>
              <w:jc w:val="both"/>
            </w:pPr>
            <w:r w:rsidRPr="00694C46">
              <w:t>Database</w:t>
            </w:r>
          </w:p>
        </w:tc>
        <w:tc>
          <w:tcPr>
            <w:tcW w:w="1523" w:type="dxa"/>
          </w:tcPr>
          <w:p w14:paraId="18B50EB7" w14:textId="77777777" w:rsidR="00C94F45" w:rsidRPr="00694C46" w:rsidRDefault="00C94F45" w:rsidP="00E91A5A">
            <w:pPr>
              <w:jc w:val="both"/>
            </w:pPr>
            <w:r>
              <w:t>Difference</w:t>
            </w:r>
          </w:p>
        </w:tc>
      </w:tr>
      <w:tr w:rsidR="00C94F45" w:rsidRPr="00694C46" w14:paraId="153F8977" w14:textId="77777777" w:rsidTr="00C94F45">
        <w:trPr>
          <w:trHeight w:val="304"/>
        </w:trPr>
        <w:tc>
          <w:tcPr>
            <w:tcW w:w="4768" w:type="dxa"/>
            <w:noWrap/>
            <w:vAlign w:val="center"/>
            <w:hideMark/>
          </w:tcPr>
          <w:p w14:paraId="749CDE7A" w14:textId="77777777" w:rsidR="00C94F45" w:rsidRPr="00694C46" w:rsidRDefault="00C94F45" w:rsidP="00E91A5A">
            <w:pPr>
              <w:jc w:val="both"/>
            </w:pPr>
            <w:r>
              <w:rPr>
                <w:color w:val="000000"/>
              </w:rPr>
              <w:t>General Needs</w:t>
            </w:r>
          </w:p>
        </w:tc>
        <w:tc>
          <w:tcPr>
            <w:tcW w:w="1405" w:type="dxa"/>
            <w:noWrap/>
            <w:vAlign w:val="center"/>
            <w:hideMark/>
          </w:tcPr>
          <w:p w14:paraId="410FF2B8" w14:textId="77777777" w:rsidR="00C94F45" w:rsidRPr="00302A10" w:rsidRDefault="00C94F45" w:rsidP="00E91A5A">
            <w:pPr>
              <w:jc w:val="both"/>
              <w:rPr>
                <w:color w:val="000000"/>
              </w:rPr>
            </w:pPr>
            <w:r>
              <w:rPr>
                <w:color w:val="000000"/>
              </w:rPr>
              <w:t>82.8%</w:t>
            </w:r>
          </w:p>
        </w:tc>
        <w:tc>
          <w:tcPr>
            <w:tcW w:w="1513" w:type="dxa"/>
            <w:noWrap/>
            <w:vAlign w:val="center"/>
            <w:hideMark/>
          </w:tcPr>
          <w:p w14:paraId="1BDF5530" w14:textId="77777777" w:rsidR="00C94F45" w:rsidRPr="00694C46" w:rsidRDefault="00C94F45" w:rsidP="00E91A5A">
            <w:pPr>
              <w:jc w:val="both"/>
            </w:pPr>
            <w:r>
              <w:rPr>
                <w:color w:val="000000"/>
              </w:rPr>
              <w:t>83.0%</w:t>
            </w:r>
          </w:p>
        </w:tc>
        <w:tc>
          <w:tcPr>
            <w:tcW w:w="1523" w:type="dxa"/>
            <w:shd w:val="clear" w:color="auto" w:fill="DFDEDE" w:themeFill="text2" w:themeFillTint="33"/>
            <w:vAlign w:val="center"/>
          </w:tcPr>
          <w:p w14:paraId="61D3CBD5" w14:textId="77777777" w:rsidR="00C94F45" w:rsidRPr="00694C46" w:rsidRDefault="00C94F45" w:rsidP="00E91A5A">
            <w:pPr>
              <w:jc w:val="both"/>
            </w:pPr>
            <w:r>
              <w:t>-0.2%</w:t>
            </w:r>
          </w:p>
        </w:tc>
      </w:tr>
      <w:tr w:rsidR="00C94F45" w:rsidRPr="00694C46" w14:paraId="1048C84D" w14:textId="77777777" w:rsidTr="00C94F45">
        <w:trPr>
          <w:trHeight w:val="304"/>
        </w:trPr>
        <w:tc>
          <w:tcPr>
            <w:tcW w:w="4768" w:type="dxa"/>
            <w:noWrap/>
            <w:vAlign w:val="center"/>
            <w:hideMark/>
          </w:tcPr>
          <w:p w14:paraId="418960F7" w14:textId="77777777" w:rsidR="00C94F45" w:rsidRPr="00694C46" w:rsidRDefault="00C94F45" w:rsidP="00E91A5A">
            <w:pPr>
              <w:jc w:val="both"/>
            </w:pPr>
            <w:r>
              <w:rPr>
                <w:color w:val="000000"/>
              </w:rPr>
              <w:t>Sheltered</w:t>
            </w:r>
          </w:p>
        </w:tc>
        <w:tc>
          <w:tcPr>
            <w:tcW w:w="1405" w:type="dxa"/>
            <w:noWrap/>
            <w:vAlign w:val="center"/>
            <w:hideMark/>
          </w:tcPr>
          <w:p w14:paraId="4E59A930" w14:textId="77777777" w:rsidR="00C94F45" w:rsidRPr="00302A10" w:rsidRDefault="00C94F45" w:rsidP="00E91A5A">
            <w:pPr>
              <w:jc w:val="both"/>
              <w:rPr>
                <w:color w:val="000000"/>
              </w:rPr>
            </w:pPr>
            <w:r>
              <w:rPr>
                <w:color w:val="000000"/>
              </w:rPr>
              <w:t>14.8%</w:t>
            </w:r>
          </w:p>
        </w:tc>
        <w:tc>
          <w:tcPr>
            <w:tcW w:w="1513" w:type="dxa"/>
            <w:noWrap/>
            <w:vAlign w:val="center"/>
            <w:hideMark/>
          </w:tcPr>
          <w:p w14:paraId="60BC7EE3" w14:textId="77777777" w:rsidR="00C94F45" w:rsidRPr="00694C46" w:rsidRDefault="00C94F45" w:rsidP="00E91A5A">
            <w:pPr>
              <w:jc w:val="both"/>
            </w:pPr>
            <w:r>
              <w:rPr>
                <w:color w:val="000000"/>
              </w:rPr>
              <w:t>14.8%</w:t>
            </w:r>
          </w:p>
        </w:tc>
        <w:tc>
          <w:tcPr>
            <w:tcW w:w="1523" w:type="dxa"/>
            <w:shd w:val="clear" w:color="auto" w:fill="DFDEDE" w:themeFill="text2" w:themeFillTint="33"/>
            <w:vAlign w:val="center"/>
          </w:tcPr>
          <w:p w14:paraId="3A5CAC3F" w14:textId="77777777" w:rsidR="00C94F45" w:rsidRPr="00694C46" w:rsidRDefault="00C94F45" w:rsidP="00E91A5A">
            <w:pPr>
              <w:jc w:val="both"/>
            </w:pPr>
            <w:r>
              <w:t>0.0%</w:t>
            </w:r>
          </w:p>
        </w:tc>
      </w:tr>
      <w:tr w:rsidR="00C94F45" w:rsidRPr="00694C46" w14:paraId="1F7C043D" w14:textId="77777777" w:rsidTr="00C94F45">
        <w:trPr>
          <w:trHeight w:val="304"/>
        </w:trPr>
        <w:tc>
          <w:tcPr>
            <w:tcW w:w="4768" w:type="dxa"/>
            <w:noWrap/>
            <w:vAlign w:val="center"/>
            <w:hideMark/>
          </w:tcPr>
          <w:p w14:paraId="5338FC87" w14:textId="77777777" w:rsidR="00C94F45" w:rsidRPr="00694C46" w:rsidRDefault="00C94F45" w:rsidP="00E91A5A">
            <w:pPr>
              <w:jc w:val="both"/>
            </w:pPr>
            <w:r>
              <w:rPr>
                <w:color w:val="000000"/>
              </w:rPr>
              <w:t>Independent Lives</w:t>
            </w:r>
          </w:p>
        </w:tc>
        <w:tc>
          <w:tcPr>
            <w:tcW w:w="1405" w:type="dxa"/>
            <w:noWrap/>
            <w:vAlign w:val="center"/>
            <w:hideMark/>
          </w:tcPr>
          <w:p w14:paraId="4C3C969E" w14:textId="77777777" w:rsidR="00C94F45" w:rsidRPr="00302A10" w:rsidRDefault="00C94F45" w:rsidP="00E91A5A">
            <w:pPr>
              <w:jc w:val="both"/>
              <w:rPr>
                <w:color w:val="000000"/>
              </w:rPr>
            </w:pPr>
            <w:r>
              <w:rPr>
                <w:color w:val="000000"/>
              </w:rPr>
              <w:t>2.4%</w:t>
            </w:r>
          </w:p>
        </w:tc>
        <w:tc>
          <w:tcPr>
            <w:tcW w:w="1513" w:type="dxa"/>
            <w:noWrap/>
            <w:vAlign w:val="center"/>
            <w:hideMark/>
          </w:tcPr>
          <w:p w14:paraId="4B6B017E" w14:textId="77777777" w:rsidR="00C94F45" w:rsidRPr="00694C46" w:rsidRDefault="00C94F45" w:rsidP="00E91A5A">
            <w:pPr>
              <w:jc w:val="both"/>
            </w:pPr>
            <w:r>
              <w:rPr>
                <w:color w:val="000000"/>
              </w:rPr>
              <w:t>2.2%</w:t>
            </w:r>
          </w:p>
        </w:tc>
        <w:tc>
          <w:tcPr>
            <w:tcW w:w="1523" w:type="dxa"/>
            <w:shd w:val="clear" w:color="auto" w:fill="DFDEDE" w:themeFill="text2" w:themeFillTint="33"/>
            <w:vAlign w:val="center"/>
          </w:tcPr>
          <w:p w14:paraId="63250D4C" w14:textId="77777777" w:rsidR="00C94F45" w:rsidRPr="00694C46" w:rsidRDefault="00C94F45" w:rsidP="00E91A5A">
            <w:pPr>
              <w:jc w:val="both"/>
            </w:pPr>
            <w:r>
              <w:t>0.2%</w:t>
            </w:r>
          </w:p>
        </w:tc>
      </w:tr>
    </w:tbl>
    <w:p w14:paraId="73BB53A7" w14:textId="77777777" w:rsidR="00C94F45" w:rsidRDefault="00C94F45" w:rsidP="00E91A5A">
      <w:pPr>
        <w:jc w:val="both"/>
      </w:pPr>
    </w:p>
    <w:tbl>
      <w:tblPr>
        <w:tblStyle w:val="TableGrid"/>
        <w:tblW w:w="9209" w:type="dxa"/>
        <w:tblLook w:val="04A0" w:firstRow="1" w:lastRow="0" w:firstColumn="1" w:lastColumn="0" w:noHBand="0" w:noVBand="1"/>
      </w:tblPr>
      <w:tblGrid>
        <w:gridCol w:w="4772"/>
        <w:gridCol w:w="1406"/>
        <w:gridCol w:w="1506"/>
        <w:gridCol w:w="1525"/>
      </w:tblGrid>
      <w:tr w:rsidR="00C94F45" w:rsidRPr="003F4BAE" w14:paraId="0D675FFE" w14:textId="77777777" w:rsidTr="00C94F45">
        <w:trPr>
          <w:trHeight w:val="268"/>
        </w:trPr>
        <w:tc>
          <w:tcPr>
            <w:tcW w:w="4772" w:type="dxa"/>
            <w:noWrap/>
            <w:hideMark/>
          </w:tcPr>
          <w:p w14:paraId="7485100C" w14:textId="77777777" w:rsidR="00C94F45" w:rsidRPr="003F4BAE" w:rsidRDefault="00C94F45" w:rsidP="00E91A5A">
            <w:pPr>
              <w:jc w:val="both"/>
              <w:rPr>
                <w:b/>
                <w:bCs/>
              </w:rPr>
            </w:pPr>
            <w:r w:rsidRPr="003F4BAE">
              <w:rPr>
                <w:b/>
                <w:bCs/>
              </w:rPr>
              <w:t>Age</w:t>
            </w:r>
          </w:p>
        </w:tc>
        <w:tc>
          <w:tcPr>
            <w:tcW w:w="1406" w:type="dxa"/>
            <w:noWrap/>
            <w:hideMark/>
          </w:tcPr>
          <w:p w14:paraId="2FC5893B" w14:textId="77777777" w:rsidR="00C94F45" w:rsidRPr="003F4BAE" w:rsidRDefault="00C94F45" w:rsidP="00E91A5A">
            <w:pPr>
              <w:jc w:val="both"/>
            </w:pPr>
            <w:r w:rsidRPr="003F4BAE">
              <w:t>Sample</w:t>
            </w:r>
          </w:p>
        </w:tc>
        <w:tc>
          <w:tcPr>
            <w:tcW w:w="1506" w:type="dxa"/>
            <w:noWrap/>
            <w:hideMark/>
          </w:tcPr>
          <w:p w14:paraId="482E736D" w14:textId="77777777" w:rsidR="00C94F45" w:rsidRPr="003F4BAE" w:rsidRDefault="00C94F45" w:rsidP="00E91A5A">
            <w:pPr>
              <w:jc w:val="both"/>
            </w:pPr>
            <w:r w:rsidRPr="003F4BAE">
              <w:t>Database</w:t>
            </w:r>
          </w:p>
        </w:tc>
        <w:tc>
          <w:tcPr>
            <w:tcW w:w="1525" w:type="dxa"/>
          </w:tcPr>
          <w:p w14:paraId="390EF204" w14:textId="77777777" w:rsidR="00C94F45" w:rsidRPr="003F4BAE" w:rsidRDefault="00C94F45" w:rsidP="00E91A5A">
            <w:pPr>
              <w:jc w:val="both"/>
            </w:pPr>
            <w:r>
              <w:t>Difference</w:t>
            </w:r>
          </w:p>
        </w:tc>
      </w:tr>
      <w:tr w:rsidR="00C94F45" w:rsidRPr="003F4BAE" w14:paraId="50EBD012" w14:textId="77777777" w:rsidTr="00C94F45">
        <w:trPr>
          <w:trHeight w:val="268"/>
        </w:trPr>
        <w:tc>
          <w:tcPr>
            <w:tcW w:w="4772" w:type="dxa"/>
            <w:noWrap/>
            <w:vAlign w:val="center"/>
            <w:hideMark/>
          </w:tcPr>
          <w:p w14:paraId="51DA5343" w14:textId="77777777" w:rsidR="00C94F45" w:rsidRPr="003F4BAE" w:rsidRDefault="00C94F45" w:rsidP="00E91A5A">
            <w:pPr>
              <w:jc w:val="both"/>
            </w:pPr>
            <w:r>
              <w:rPr>
                <w:color w:val="000000"/>
              </w:rPr>
              <w:t>16-24</w:t>
            </w:r>
          </w:p>
        </w:tc>
        <w:tc>
          <w:tcPr>
            <w:tcW w:w="1406" w:type="dxa"/>
            <w:noWrap/>
            <w:vAlign w:val="center"/>
            <w:hideMark/>
          </w:tcPr>
          <w:p w14:paraId="3FB90FD3" w14:textId="77777777" w:rsidR="00C94F45" w:rsidRPr="00302A10" w:rsidRDefault="00C94F45" w:rsidP="00E91A5A">
            <w:pPr>
              <w:jc w:val="both"/>
              <w:rPr>
                <w:color w:val="000000"/>
              </w:rPr>
            </w:pPr>
            <w:r>
              <w:rPr>
                <w:color w:val="000000"/>
              </w:rPr>
              <w:t>3.2%</w:t>
            </w:r>
          </w:p>
        </w:tc>
        <w:tc>
          <w:tcPr>
            <w:tcW w:w="1506" w:type="dxa"/>
            <w:noWrap/>
            <w:vAlign w:val="center"/>
            <w:hideMark/>
          </w:tcPr>
          <w:p w14:paraId="39A0ED5E" w14:textId="77777777" w:rsidR="00C94F45" w:rsidRPr="003F4BAE" w:rsidRDefault="00C94F45" w:rsidP="00E91A5A">
            <w:pPr>
              <w:jc w:val="both"/>
            </w:pPr>
            <w:r>
              <w:rPr>
                <w:color w:val="000000"/>
              </w:rPr>
              <w:t>3.2%</w:t>
            </w:r>
          </w:p>
        </w:tc>
        <w:tc>
          <w:tcPr>
            <w:tcW w:w="1525" w:type="dxa"/>
            <w:shd w:val="clear" w:color="auto" w:fill="DFDEDE" w:themeFill="text2" w:themeFillTint="33"/>
            <w:vAlign w:val="center"/>
          </w:tcPr>
          <w:p w14:paraId="6DBEEF36" w14:textId="77777777" w:rsidR="00C94F45" w:rsidRPr="003F4BAE" w:rsidRDefault="00C94F45" w:rsidP="00E91A5A">
            <w:pPr>
              <w:jc w:val="both"/>
            </w:pPr>
            <w:r>
              <w:t>0.0%</w:t>
            </w:r>
          </w:p>
        </w:tc>
      </w:tr>
      <w:tr w:rsidR="00C94F45" w:rsidRPr="003F4BAE" w14:paraId="0D522EAC" w14:textId="77777777" w:rsidTr="00C94F45">
        <w:trPr>
          <w:trHeight w:val="268"/>
        </w:trPr>
        <w:tc>
          <w:tcPr>
            <w:tcW w:w="4772" w:type="dxa"/>
            <w:noWrap/>
            <w:vAlign w:val="center"/>
            <w:hideMark/>
          </w:tcPr>
          <w:p w14:paraId="019A1A49" w14:textId="77777777" w:rsidR="00C94F45" w:rsidRPr="003F4BAE" w:rsidRDefault="00C94F45" w:rsidP="00E91A5A">
            <w:pPr>
              <w:jc w:val="both"/>
            </w:pPr>
            <w:r>
              <w:rPr>
                <w:color w:val="000000"/>
              </w:rPr>
              <w:t>25-34</w:t>
            </w:r>
          </w:p>
        </w:tc>
        <w:tc>
          <w:tcPr>
            <w:tcW w:w="1406" w:type="dxa"/>
            <w:noWrap/>
            <w:vAlign w:val="center"/>
            <w:hideMark/>
          </w:tcPr>
          <w:p w14:paraId="0FEF0A89" w14:textId="77777777" w:rsidR="00C94F45" w:rsidRPr="00302A10" w:rsidRDefault="00C94F45" w:rsidP="00E91A5A">
            <w:pPr>
              <w:jc w:val="both"/>
              <w:rPr>
                <w:color w:val="000000"/>
              </w:rPr>
            </w:pPr>
            <w:r>
              <w:rPr>
                <w:color w:val="000000"/>
              </w:rPr>
              <w:t>14.4%</w:t>
            </w:r>
          </w:p>
        </w:tc>
        <w:tc>
          <w:tcPr>
            <w:tcW w:w="1506" w:type="dxa"/>
            <w:noWrap/>
            <w:vAlign w:val="center"/>
            <w:hideMark/>
          </w:tcPr>
          <w:p w14:paraId="6073DD18" w14:textId="77777777" w:rsidR="00C94F45" w:rsidRPr="003F4BAE" w:rsidRDefault="00C94F45" w:rsidP="00E91A5A">
            <w:pPr>
              <w:jc w:val="both"/>
            </w:pPr>
            <w:r>
              <w:rPr>
                <w:color w:val="000000"/>
              </w:rPr>
              <w:t>15.0%</w:t>
            </w:r>
          </w:p>
        </w:tc>
        <w:tc>
          <w:tcPr>
            <w:tcW w:w="1525" w:type="dxa"/>
            <w:shd w:val="clear" w:color="auto" w:fill="DFDEDE" w:themeFill="text2" w:themeFillTint="33"/>
            <w:vAlign w:val="center"/>
          </w:tcPr>
          <w:p w14:paraId="57F5D751" w14:textId="77777777" w:rsidR="00C94F45" w:rsidRPr="003F4BAE" w:rsidRDefault="00C94F45" w:rsidP="00E91A5A">
            <w:pPr>
              <w:jc w:val="both"/>
            </w:pPr>
            <w:r>
              <w:rPr>
                <w:color w:val="000000"/>
              </w:rPr>
              <w:t>-0.6%</w:t>
            </w:r>
          </w:p>
        </w:tc>
      </w:tr>
      <w:tr w:rsidR="00C94F45" w:rsidRPr="003F4BAE" w14:paraId="4DD680FC" w14:textId="77777777" w:rsidTr="00C94F45">
        <w:trPr>
          <w:trHeight w:val="268"/>
        </w:trPr>
        <w:tc>
          <w:tcPr>
            <w:tcW w:w="4772" w:type="dxa"/>
            <w:shd w:val="clear" w:color="auto" w:fill="auto"/>
            <w:noWrap/>
            <w:vAlign w:val="center"/>
            <w:hideMark/>
          </w:tcPr>
          <w:p w14:paraId="24D533B5" w14:textId="77777777" w:rsidR="00C94F45" w:rsidRPr="003F4BAE" w:rsidRDefault="00C94F45" w:rsidP="00E91A5A">
            <w:pPr>
              <w:jc w:val="both"/>
            </w:pPr>
            <w:r>
              <w:rPr>
                <w:color w:val="000000"/>
              </w:rPr>
              <w:t>35-44</w:t>
            </w:r>
          </w:p>
        </w:tc>
        <w:tc>
          <w:tcPr>
            <w:tcW w:w="1406" w:type="dxa"/>
            <w:shd w:val="clear" w:color="auto" w:fill="auto"/>
            <w:noWrap/>
            <w:vAlign w:val="center"/>
            <w:hideMark/>
          </w:tcPr>
          <w:p w14:paraId="222D7B93" w14:textId="77777777" w:rsidR="00C94F45" w:rsidRPr="00302A10" w:rsidRDefault="00C94F45" w:rsidP="00E91A5A">
            <w:pPr>
              <w:jc w:val="both"/>
              <w:rPr>
                <w:color w:val="000000"/>
              </w:rPr>
            </w:pPr>
            <w:r>
              <w:rPr>
                <w:color w:val="000000"/>
              </w:rPr>
              <w:t>19.1%</w:t>
            </w:r>
          </w:p>
        </w:tc>
        <w:tc>
          <w:tcPr>
            <w:tcW w:w="1506" w:type="dxa"/>
            <w:shd w:val="clear" w:color="auto" w:fill="auto"/>
            <w:noWrap/>
            <w:vAlign w:val="center"/>
            <w:hideMark/>
          </w:tcPr>
          <w:p w14:paraId="45EA818E" w14:textId="77777777" w:rsidR="00C94F45" w:rsidRPr="003F4BAE" w:rsidRDefault="00C94F45" w:rsidP="00E91A5A">
            <w:pPr>
              <w:jc w:val="both"/>
            </w:pPr>
            <w:r>
              <w:rPr>
                <w:color w:val="000000"/>
              </w:rPr>
              <w:t>18.6%</w:t>
            </w:r>
          </w:p>
        </w:tc>
        <w:tc>
          <w:tcPr>
            <w:tcW w:w="1525" w:type="dxa"/>
            <w:shd w:val="clear" w:color="auto" w:fill="DFDEDE" w:themeFill="text2" w:themeFillTint="33"/>
            <w:vAlign w:val="center"/>
          </w:tcPr>
          <w:p w14:paraId="5079058B" w14:textId="77777777" w:rsidR="00C94F45" w:rsidRPr="003F4BAE" w:rsidRDefault="00C94F45" w:rsidP="00E91A5A">
            <w:pPr>
              <w:jc w:val="both"/>
            </w:pPr>
            <w:r>
              <w:rPr>
                <w:color w:val="000000"/>
              </w:rPr>
              <w:t>0.5%</w:t>
            </w:r>
          </w:p>
        </w:tc>
      </w:tr>
      <w:tr w:rsidR="00C94F45" w:rsidRPr="003F4BAE" w14:paraId="0DB67F4F" w14:textId="77777777" w:rsidTr="00C94F45">
        <w:trPr>
          <w:trHeight w:val="268"/>
        </w:trPr>
        <w:tc>
          <w:tcPr>
            <w:tcW w:w="4772" w:type="dxa"/>
            <w:noWrap/>
            <w:vAlign w:val="center"/>
            <w:hideMark/>
          </w:tcPr>
          <w:p w14:paraId="391F1512" w14:textId="77777777" w:rsidR="00C94F45" w:rsidRPr="003F4BAE" w:rsidRDefault="00C94F45" w:rsidP="00E91A5A">
            <w:pPr>
              <w:jc w:val="both"/>
            </w:pPr>
            <w:r>
              <w:rPr>
                <w:color w:val="000000"/>
              </w:rPr>
              <w:t>45-54</w:t>
            </w:r>
          </w:p>
        </w:tc>
        <w:tc>
          <w:tcPr>
            <w:tcW w:w="1406" w:type="dxa"/>
            <w:noWrap/>
            <w:vAlign w:val="center"/>
            <w:hideMark/>
          </w:tcPr>
          <w:p w14:paraId="78781EFD" w14:textId="77777777" w:rsidR="00C94F45" w:rsidRPr="00302A10" w:rsidRDefault="00C94F45" w:rsidP="00E91A5A">
            <w:pPr>
              <w:jc w:val="both"/>
              <w:rPr>
                <w:color w:val="000000"/>
              </w:rPr>
            </w:pPr>
            <w:r>
              <w:rPr>
                <w:color w:val="000000"/>
              </w:rPr>
              <w:t>18.1%</w:t>
            </w:r>
          </w:p>
        </w:tc>
        <w:tc>
          <w:tcPr>
            <w:tcW w:w="1506" w:type="dxa"/>
            <w:noWrap/>
            <w:vAlign w:val="center"/>
            <w:hideMark/>
          </w:tcPr>
          <w:p w14:paraId="3349CCBE" w14:textId="77777777" w:rsidR="00C94F45" w:rsidRPr="003F4BAE" w:rsidRDefault="00C94F45" w:rsidP="00E91A5A">
            <w:pPr>
              <w:jc w:val="both"/>
            </w:pPr>
            <w:r>
              <w:rPr>
                <w:color w:val="000000"/>
              </w:rPr>
              <w:t>18.5%</w:t>
            </w:r>
          </w:p>
        </w:tc>
        <w:tc>
          <w:tcPr>
            <w:tcW w:w="1525" w:type="dxa"/>
            <w:shd w:val="clear" w:color="auto" w:fill="DFDEDE" w:themeFill="text2" w:themeFillTint="33"/>
            <w:vAlign w:val="center"/>
          </w:tcPr>
          <w:p w14:paraId="3140602E" w14:textId="77777777" w:rsidR="00C94F45" w:rsidRPr="003F4BAE" w:rsidRDefault="00C94F45" w:rsidP="00E91A5A">
            <w:pPr>
              <w:jc w:val="both"/>
            </w:pPr>
            <w:r>
              <w:rPr>
                <w:color w:val="000000"/>
              </w:rPr>
              <w:t>-0.4%</w:t>
            </w:r>
          </w:p>
        </w:tc>
      </w:tr>
      <w:tr w:rsidR="00C94F45" w:rsidRPr="003F4BAE" w14:paraId="4E1F4D8E" w14:textId="77777777" w:rsidTr="00C94F45">
        <w:trPr>
          <w:trHeight w:val="268"/>
        </w:trPr>
        <w:tc>
          <w:tcPr>
            <w:tcW w:w="4772" w:type="dxa"/>
            <w:noWrap/>
            <w:vAlign w:val="center"/>
            <w:hideMark/>
          </w:tcPr>
          <w:p w14:paraId="2D3EAED3" w14:textId="77777777" w:rsidR="00C94F45" w:rsidRPr="003F4BAE" w:rsidRDefault="00C94F45" w:rsidP="00E91A5A">
            <w:pPr>
              <w:jc w:val="both"/>
            </w:pPr>
            <w:r>
              <w:rPr>
                <w:color w:val="000000"/>
              </w:rPr>
              <w:t>55-64</w:t>
            </w:r>
          </w:p>
        </w:tc>
        <w:tc>
          <w:tcPr>
            <w:tcW w:w="1406" w:type="dxa"/>
            <w:noWrap/>
            <w:vAlign w:val="center"/>
            <w:hideMark/>
          </w:tcPr>
          <w:p w14:paraId="58C5A62C" w14:textId="77777777" w:rsidR="00C94F45" w:rsidRPr="00302A10" w:rsidRDefault="00C94F45" w:rsidP="00E91A5A">
            <w:pPr>
              <w:jc w:val="both"/>
              <w:rPr>
                <w:color w:val="000000"/>
              </w:rPr>
            </w:pPr>
            <w:r>
              <w:rPr>
                <w:color w:val="000000"/>
              </w:rPr>
              <w:t>20.0%</w:t>
            </w:r>
          </w:p>
        </w:tc>
        <w:tc>
          <w:tcPr>
            <w:tcW w:w="1506" w:type="dxa"/>
            <w:noWrap/>
            <w:vAlign w:val="center"/>
            <w:hideMark/>
          </w:tcPr>
          <w:p w14:paraId="3184D7CD" w14:textId="77777777" w:rsidR="00C94F45" w:rsidRPr="003F4BAE" w:rsidRDefault="00C94F45" w:rsidP="00E91A5A">
            <w:pPr>
              <w:jc w:val="both"/>
            </w:pPr>
            <w:r>
              <w:rPr>
                <w:color w:val="000000"/>
              </w:rPr>
              <w:t>19.6%</w:t>
            </w:r>
          </w:p>
        </w:tc>
        <w:tc>
          <w:tcPr>
            <w:tcW w:w="1525" w:type="dxa"/>
            <w:shd w:val="clear" w:color="auto" w:fill="DFDEDE" w:themeFill="text2" w:themeFillTint="33"/>
            <w:vAlign w:val="center"/>
          </w:tcPr>
          <w:p w14:paraId="5057A9F0" w14:textId="77777777" w:rsidR="00C94F45" w:rsidRPr="003F4BAE" w:rsidRDefault="00C94F45" w:rsidP="00E91A5A">
            <w:pPr>
              <w:jc w:val="both"/>
            </w:pPr>
            <w:r>
              <w:rPr>
                <w:color w:val="000000"/>
              </w:rPr>
              <w:t>0.4%</w:t>
            </w:r>
          </w:p>
        </w:tc>
      </w:tr>
      <w:tr w:rsidR="00C94F45" w:rsidRPr="003F4BAE" w14:paraId="6923EDD9" w14:textId="77777777" w:rsidTr="00C94F45">
        <w:trPr>
          <w:trHeight w:val="268"/>
        </w:trPr>
        <w:tc>
          <w:tcPr>
            <w:tcW w:w="4772" w:type="dxa"/>
            <w:noWrap/>
            <w:vAlign w:val="center"/>
            <w:hideMark/>
          </w:tcPr>
          <w:p w14:paraId="21EF139C" w14:textId="77777777" w:rsidR="00C94F45" w:rsidRPr="003F4BAE" w:rsidRDefault="00C94F45" w:rsidP="00E91A5A">
            <w:pPr>
              <w:jc w:val="both"/>
            </w:pPr>
            <w:r>
              <w:rPr>
                <w:color w:val="000000"/>
              </w:rPr>
              <w:t>65+</w:t>
            </w:r>
          </w:p>
        </w:tc>
        <w:tc>
          <w:tcPr>
            <w:tcW w:w="1406" w:type="dxa"/>
            <w:noWrap/>
            <w:vAlign w:val="center"/>
            <w:hideMark/>
          </w:tcPr>
          <w:p w14:paraId="6BD00509" w14:textId="77777777" w:rsidR="00C94F45" w:rsidRPr="00302A10" w:rsidRDefault="00C94F45" w:rsidP="00E91A5A">
            <w:pPr>
              <w:jc w:val="both"/>
              <w:rPr>
                <w:color w:val="000000"/>
              </w:rPr>
            </w:pPr>
            <w:r>
              <w:rPr>
                <w:color w:val="000000"/>
              </w:rPr>
              <w:t>24.9%</w:t>
            </w:r>
          </w:p>
        </w:tc>
        <w:tc>
          <w:tcPr>
            <w:tcW w:w="1506" w:type="dxa"/>
            <w:noWrap/>
            <w:vAlign w:val="center"/>
            <w:hideMark/>
          </w:tcPr>
          <w:p w14:paraId="265E2168" w14:textId="77777777" w:rsidR="00C94F45" w:rsidRPr="003F4BAE" w:rsidRDefault="00C94F45" w:rsidP="00E91A5A">
            <w:pPr>
              <w:jc w:val="both"/>
            </w:pPr>
            <w:r>
              <w:rPr>
                <w:color w:val="000000"/>
              </w:rPr>
              <w:t>24.7%</w:t>
            </w:r>
          </w:p>
        </w:tc>
        <w:tc>
          <w:tcPr>
            <w:tcW w:w="1525" w:type="dxa"/>
            <w:shd w:val="clear" w:color="auto" w:fill="DFDEDE" w:themeFill="text2" w:themeFillTint="33"/>
            <w:vAlign w:val="center"/>
          </w:tcPr>
          <w:p w14:paraId="0434656E" w14:textId="77777777" w:rsidR="00C94F45" w:rsidRPr="003F4BAE" w:rsidRDefault="00C94F45" w:rsidP="00E91A5A">
            <w:pPr>
              <w:jc w:val="both"/>
            </w:pPr>
            <w:r>
              <w:rPr>
                <w:color w:val="000000"/>
              </w:rPr>
              <w:t>0.2%</w:t>
            </w:r>
          </w:p>
        </w:tc>
      </w:tr>
      <w:tr w:rsidR="00C94F45" w:rsidRPr="00694C46" w14:paraId="2805C519" w14:textId="77777777" w:rsidTr="00C94F45">
        <w:trPr>
          <w:trHeight w:val="268"/>
        </w:trPr>
        <w:tc>
          <w:tcPr>
            <w:tcW w:w="4772" w:type="dxa"/>
            <w:noWrap/>
            <w:vAlign w:val="center"/>
            <w:hideMark/>
          </w:tcPr>
          <w:p w14:paraId="22688336" w14:textId="77777777" w:rsidR="00C94F45" w:rsidRPr="003F4BAE" w:rsidRDefault="00C94F45" w:rsidP="00E91A5A">
            <w:pPr>
              <w:jc w:val="both"/>
            </w:pPr>
            <w:r>
              <w:rPr>
                <w:color w:val="000000"/>
              </w:rPr>
              <w:t>Unknown</w:t>
            </w:r>
          </w:p>
        </w:tc>
        <w:tc>
          <w:tcPr>
            <w:tcW w:w="1406" w:type="dxa"/>
            <w:noWrap/>
            <w:vAlign w:val="center"/>
            <w:hideMark/>
          </w:tcPr>
          <w:p w14:paraId="1E7E7F3E" w14:textId="77777777" w:rsidR="00C94F45" w:rsidRPr="003F4BAE" w:rsidRDefault="00C94F45" w:rsidP="00E91A5A">
            <w:pPr>
              <w:jc w:val="both"/>
            </w:pPr>
            <w:r>
              <w:rPr>
                <w:color w:val="000000"/>
              </w:rPr>
              <w:t>0.3%</w:t>
            </w:r>
          </w:p>
        </w:tc>
        <w:tc>
          <w:tcPr>
            <w:tcW w:w="1506" w:type="dxa"/>
            <w:noWrap/>
            <w:vAlign w:val="center"/>
            <w:hideMark/>
          </w:tcPr>
          <w:p w14:paraId="75E43214" w14:textId="77777777" w:rsidR="00C94F45" w:rsidRPr="00694C46" w:rsidRDefault="00C94F45" w:rsidP="00E91A5A">
            <w:pPr>
              <w:jc w:val="both"/>
            </w:pPr>
            <w:r>
              <w:rPr>
                <w:color w:val="000000"/>
              </w:rPr>
              <w:t>0.4%</w:t>
            </w:r>
          </w:p>
        </w:tc>
        <w:tc>
          <w:tcPr>
            <w:tcW w:w="1525" w:type="dxa"/>
            <w:shd w:val="clear" w:color="auto" w:fill="DFDEDE" w:themeFill="text2" w:themeFillTint="33"/>
            <w:vAlign w:val="center"/>
          </w:tcPr>
          <w:p w14:paraId="4E62312F" w14:textId="77777777" w:rsidR="00C94F45" w:rsidRPr="003F4BAE" w:rsidRDefault="00C94F45" w:rsidP="00E91A5A">
            <w:pPr>
              <w:jc w:val="both"/>
            </w:pPr>
            <w:r>
              <w:rPr>
                <w:color w:val="000000"/>
              </w:rPr>
              <w:t>-0.1%</w:t>
            </w:r>
          </w:p>
        </w:tc>
      </w:tr>
    </w:tbl>
    <w:p w14:paraId="00670E94" w14:textId="77777777" w:rsidR="00C94F45" w:rsidRDefault="00C94F45" w:rsidP="00E91A5A">
      <w:pPr>
        <w:jc w:val="both"/>
      </w:pPr>
    </w:p>
    <w:p w14:paraId="5AA72193" w14:textId="77777777" w:rsidR="00C94F45" w:rsidRDefault="00C94F45" w:rsidP="00E91A5A">
      <w:pPr>
        <w:jc w:val="both"/>
      </w:pPr>
    </w:p>
    <w:tbl>
      <w:tblPr>
        <w:tblStyle w:val="TableGrid"/>
        <w:tblW w:w="9209" w:type="dxa"/>
        <w:tblLook w:val="04A0" w:firstRow="1" w:lastRow="0" w:firstColumn="1" w:lastColumn="0" w:noHBand="0" w:noVBand="1"/>
      </w:tblPr>
      <w:tblGrid>
        <w:gridCol w:w="4767"/>
        <w:gridCol w:w="1424"/>
        <w:gridCol w:w="1495"/>
        <w:gridCol w:w="1523"/>
      </w:tblGrid>
      <w:tr w:rsidR="00C94F45" w:rsidRPr="00694C46" w14:paraId="2CAD89EB" w14:textId="77777777" w:rsidTr="00C94F45">
        <w:trPr>
          <w:trHeight w:val="289"/>
        </w:trPr>
        <w:tc>
          <w:tcPr>
            <w:tcW w:w="4767" w:type="dxa"/>
            <w:noWrap/>
            <w:hideMark/>
          </w:tcPr>
          <w:p w14:paraId="58BFF5EB" w14:textId="77777777" w:rsidR="00C94F45" w:rsidRPr="00AD2078" w:rsidRDefault="00C94F45" w:rsidP="00E91A5A">
            <w:pPr>
              <w:jc w:val="both"/>
              <w:rPr>
                <w:b/>
                <w:bCs/>
                <w:color w:val="000000" w:themeColor="text1"/>
              </w:rPr>
            </w:pPr>
            <w:r w:rsidRPr="00AD2078">
              <w:rPr>
                <w:b/>
                <w:bCs/>
                <w:color w:val="000000" w:themeColor="text1"/>
              </w:rPr>
              <w:t>Ethnicity</w:t>
            </w:r>
          </w:p>
        </w:tc>
        <w:tc>
          <w:tcPr>
            <w:tcW w:w="1424" w:type="dxa"/>
            <w:noWrap/>
            <w:hideMark/>
          </w:tcPr>
          <w:p w14:paraId="574A1954" w14:textId="77777777" w:rsidR="00C94F45" w:rsidRPr="00AD2078" w:rsidRDefault="00C94F45" w:rsidP="00E91A5A">
            <w:pPr>
              <w:jc w:val="both"/>
              <w:rPr>
                <w:color w:val="000000" w:themeColor="text1"/>
              </w:rPr>
            </w:pPr>
            <w:r w:rsidRPr="00AD2078">
              <w:rPr>
                <w:color w:val="000000" w:themeColor="text1"/>
              </w:rPr>
              <w:t>Sample</w:t>
            </w:r>
          </w:p>
        </w:tc>
        <w:tc>
          <w:tcPr>
            <w:tcW w:w="1495" w:type="dxa"/>
            <w:noWrap/>
            <w:hideMark/>
          </w:tcPr>
          <w:p w14:paraId="50BA8701" w14:textId="77777777" w:rsidR="00C94F45" w:rsidRPr="00AD2078" w:rsidRDefault="00C94F45" w:rsidP="00E91A5A">
            <w:pPr>
              <w:jc w:val="both"/>
              <w:rPr>
                <w:color w:val="000000" w:themeColor="text1"/>
              </w:rPr>
            </w:pPr>
            <w:r w:rsidRPr="00AD2078">
              <w:rPr>
                <w:color w:val="000000" w:themeColor="text1"/>
              </w:rPr>
              <w:t>Database</w:t>
            </w:r>
          </w:p>
        </w:tc>
        <w:tc>
          <w:tcPr>
            <w:tcW w:w="1523" w:type="dxa"/>
          </w:tcPr>
          <w:p w14:paraId="1EDA02E3" w14:textId="77777777" w:rsidR="00C94F45" w:rsidRPr="00AD2078" w:rsidRDefault="00C94F45" w:rsidP="00E91A5A">
            <w:pPr>
              <w:jc w:val="both"/>
              <w:rPr>
                <w:color w:val="000000" w:themeColor="text1"/>
              </w:rPr>
            </w:pPr>
            <w:r w:rsidRPr="00AD2078">
              <w:rPr>
                <w:color w:val="000000" w:themeColor="text1"/>
              </w:rPr>
              <w:t>Difference</w:t>
            </w:r>
          </w:p>
        </w:tc>
      </w:tr>
      <w:tr w:rsidR="00C94F45" w:rsidRPr="00694C46" w14:paraId="3C3D0F2E" w14:textId="77777777" w:rsidTr="00C94F45">
        <w:trPr>
          <w:trHeight w:val="289"/>
        </w:trPr>
        <w:tc>
          <w:tcPr>
            <w:tcW w:w="4767" w:type="dxa"/>
            <w:shd w:val="clear" w:color="auto" w:fill="auto"/>
            <w:noWrap/>
            <w:vAlign w:val="center"/>
            <w:hideMark/>
          </w:tcPr>
          <w:p w14:paraId="1890D2D7" w14:textId="77777777" w:rsidR="00C94F45" w:rsidRPr="00AD2078" w:rsidRDefault="00C94F45" w:rsidP="00E91A5A">
            <w:pPr>
              <w:jc w:val="both"/>
              <w:rPr>
                <w:color w:val="000000" w:themeColor="text1"/>
              </w:rPr>
            </w:pPr>
            <w:r>
              <w:rPr>
                <w:color w:val="000000" w:themeColor="text1"/>
              </w:rPr>
              <w:t xml:space="preserve">White </w:t>
            </w:r>
          </w:p>
        </w:tc>
        <w:tc>
          <w:tcPr>
            <w:tcW w:w="1424" w:type="dxa"/>
            <w:shd w:val="clear" w:color="auto" w:fill="auto"/>
            <w:noWrap/>
            <w:vAlign w:val="center"/>
            <w:hideMark/>
          </w:tcPr>
          <w:p w14:paraId="06F54D1D" w14:textId="77777777" w:rsidR="00C94F45" w:rsidRPr="00AD2078" w:rsidRDefault="00C94F45" w:rsidP="00E91A5A">
            <w:pPr>
              <w:jc w:val="both"/>
              <w:rPr>
                <w:color w:val="000000" w:themeColor="text1"/>
              </w:rPr>
            </w:pPr>
            <w:r>
              <w:rPr>
                <w:color w:val="000000"/>
              </w:rPr>
              <w:t>76.0%</w:t>
            </w:r>
          </w:p>
        </w:tc>
        <w:tc>
          <w:tcPr>
            <w:tcW w:w="1495" w:type="dxa"/>
            <w:shd w:val="clear" w:color="auto" w:fill="auto"/>
            <w:noWrap/>
            <w:vAlign w:val="center"/>
            <w:hideMark/>
          </w:tcPr>
          <w:p w14:paraId="0B9BFE32" w14:textId="77777777" w:rsidR="00C94F45" w:rsidRPr="00AD2078" w:rsidRDefault="00C94F45" w:rsidP="00E91A5A">
            <w:pPr>
              <w:jc w:val="both"/>
              <w:rPr>
                <w:color w:val="000000" w:themeColor="text1"/>
              </w:rPr>
            </w:pPr>
            <w:r>
              <w:rPr>
                <w:color w:val="000000" w:themeColor="text1"/>
              </w:rPr>
              <w:t>75.2%</w:t>
            </w:r>
          </w:p>
        </w:tc>
        <w:tc>
          <w:tcPr>
            <w:tcW w:w="1523" w:type="dxa"/>
            <w:shd w:val="clear" w:color="auto" w:fill="DFDEDE" w:themeFill="text2" w:themeFillTint="33"/>
            <w:vAlign w:val="center"/>
          </w:tcPr>
          <w:p w14:paraId="7A738187" w14:textId="77777777" w:rsidR="00C94F45" w:rsidRPr="00AD2078" w:rsidRDefault="00C94F45" w:rsidP="00E91A5A">
            <w:pPr>
              <w:jc w:val="both"/>
              <w:rPr>
                <w:color w:val="000000" w:themeColor="text1"/>
              </w:rPr>
            </w:pPr>
            <w:r>
              <w:t>0.8%</w:t>
            </w:r>
          </w:p>
        </w:tc>
      </w:tr>
      <w:tr w:rsidR="00C94F45" w:rsidRPr="00694C46" w14:paraId="4E7A9A55" w14:textId="77777777" w:rsidTr="00C94F45">
        <w:trPr>
          <w:trHeight w:val="289"/>
        </w:trPr>
        <w:tc>
          <w:tcPr>
            <w:tcW w:w="4767" w:type="dxa"/>
            <w:shd w:val="clear" w:color="auto" w:fill="auto"/>
            <w:noWrap/>
            <w:vAlign w:val="center"/>
            <w:hideMark/>
          </w:tcPr>
          <w:p w14:paraId="0D7C2A5C" w14:textId="77777777" w:rsidR="00C94F45" w:rsidRPr="00AD2078" w:rsidRDefault="00C94F45" w:rsidP="00E91A5A">
            <w:pPr>
              <w:jc w:val="both"/>
              <w:rPr>
                <w:color w:val="000000" w:themeColor="text1"/>
              </w:rPr>
            </w:pPr>
            <w:r>
              <w:rPr>
                <w:color w:val="000000" w:themeColor="text1"/>
              </w:rPr>
              <w:t xml:space="preserve">Not known </w:t>
            </w:r>
          </w:p>
        </w:tc>
        <w:tc>
          <w:tcPr>
            <w:tcW w:w="1424" w:type="dxa"/>
            <w:shd w:val="clear" w:color="auto" w:fill="auto"/>
            <w:noWrap/>
            <w:vAlign w:val="center"/>
            <w:hideMark/>
          </w:tcPr>
          <w:p w14:paraId="6F71CC4F" w14:textId="77777777" w:rsidR="00C94F45" w:rsidRPr="00AD2078" w:rsidRDefault="00C94F45" w:rsidP="00E91A5A">
            <w:pPr>
              <w:jc w:val="both"/>
              <w:rPr>
                <w:color w:val="000000" w:themeColor="text1"/>
              </w:rPr>
            </w:pPr>
            <w:r>
              <w:rPr>
                <w:color w:val="000000"/>
              </w:rPr>
              <w:t>16.1%</w:t>
            </w:r>
          </w:p>
        </w:tc>
        <w:tc>
          <w:tcPr>
            <w:tcW w:w="1495" w:type="dxa"/>
            <w:shd w:val="clear" w:color="auto" w:fill="auto"/>
            <w:noWrap/>
            <w:vAlign w:val="center"/>
            <w:hideMark/>
          </w:tcPr>
          <w:p w14:paraId="7BB7D813" w14:textId="77777777" w:rsidR="00C94F45" w:rsidRPr="00AD2078" w:rsidRDefault="00C94F45" w:rsidP="00E91A5A">
            <w:pPr>
              <w:jc w:val="both"/>
              <w:rPr>
                <w:color w:val="000000" w:themeColor="text1"/>
              </w:rPr>
            </w:pPr>
            <w:r>
              <w:rPr>
                <w:color w:val="000000" w:themeColor="text1"/>
              </w:rPr>
              <w:t>18.9%</w:t>
            </w:r>
          </w:p>
        </w:tc>
        <w:tc>
          <w:tcPr>
            <w:tcW w:w="1523" w:type="dxa"/>
            <w:shd w:val="clear" w:color="auto" w:fill="DFDEDE" w:themeFill="text2" w:themeFillTint="33"/>
            <w:vAlign w:val="center"/>
          </w:tcPr>
          <w:p w14:paraId="56E947F6" w14:textId="77777777" w:rsidR="00C94F45" w:rsidRPr="00AD2078" w:rsidRDefault="00C94F45" w:rsidP="00E91A5A">
            <w:pPr>
              <w:jc w:val="both"/>
              <w:rPr>
                <w:color w:val="000000" w:themeColor="text1"/>
              </w:rPr>
            </w:pPr>
            <w:r>
              <w:rPr>
                <w:color w:val="000000"/>
              </w:rPr>
              <w:t>-2.8%</w:t>
            </w:r>
          </w:p>
        </w:tc>
      </w:tr>
      <w:tr w:rsidR="00C94F45" w:rsidRPr="00694C46" w14:paraId="020B93F3" w14:textId="77777777" w:rsidTr="00C94F45">
        <w:trPr>
          <w:trHeight w:val="289"/>
        </w:trPr>
        <w:tc>
          <w:tcPr>
            <w:tcW w:w="4767" w:type="dxa"/>
            <w:shd w:val="clear" w:color="auto" w:fill="auto"/>
            <w:noWrap/>
            <w:vAlign w:val="center"/>
            <w:hideMark/>
          </w:tcPr>
          <w:p w14:paraId="507F9348" w14:textId="77777777" w:rsidR="00C94F45" w:rsidRPr="00AD2078" w:rsidRDefault="00C94F45" w:rsidP="00E91A5A">
            <w:pPr>
              <w:jc w:val="both"/>
              <w:rPr>
                <w:color w:val="000000" w:themeColor="text1"/>
              </w:rPr>
            </w:pPr>
            <w:r>
              <w:rPr>
                <w:color w:val="000000" w:themeColor="text1"/>
              </w:rPr>
              <w:t xml:space="preserve">Black, Black British, </w:t>
            </w:r>
            <w:proofErr w:type="gramStart"/>
            <w:r>
              <w:rPr>
                <w:color w:val="000000" w:themeColor="text1"/>
              </w:rPr>
              <w:t>Caribbean</w:t>
            </w:r>
            <w:proofErr w:type="gramEnd"/>
            <w:r>
              <w:rPr>
                <w:color w:val="000000" w:themeColor="text1"/>
              </w:rPr>
              <w:t xml:space="preserve"> or African </w:t>
            </w:r>
          </w:p>
        </w:tc>
        <w:tc>
          <w:tcPr>
            <w:tcW w:w="1424" w:type="dxa"/>
            <w:shd w:val="clear" w:color="auto" w:fill="auto"/>
            <w:noWrap/>
            <w:vAlign w:val="center"/>
            <w:hideMark/>
          </w:tcPr>
          <w:p w14:paraId="49421A48" w14:textId="77777777" w:rsidR="00C94F45" w:rsidRPr="00AD2078" w:rsidRDefault="00C94F45" w:rsidP="00E91A5A">
            <w:pPr>
              <w:jc w:val="both"/>
              <w:rPr>
                <w:color w:val="000000" w:themeColor="text1"/>
              </w:rPr>
            </w:pPr>
            <w:r>
              <w:rPr>
                <w:color w:val="000000"/>
              </w:rPr>
              <w:t>2.7%</w:t>
            </w:r>
          </w:p>
        </w:tc>
        <w:tc>
          <w:tcPr>
            <w:tcW w:w="1495" w:type="dxa"/>
            <w:shd w:val="clear" w:color="auto" w:fill="auto"/>
            <w:noWrap/>
            <w:vAlign w:val="center"/>
            <w:hideMark/>
          </w:tcPr>
          <w:p w14:paraId="07F70FEE" w14:textId="77777777" w:rsidR="00C94F45" w:rsidRPr="00AD2078" w:rsidRDefault="00C94F45" w:rsidP="00E91A5A">
            <w:pPr>
              <w:jc w:val="both"/>
              <w:rPr>
                <w:color w:val="000000" w:themeColor="text1"/>
              </w:rPr>
            </w:pPr>
            <w:r>
              <w:rPr>
                <w:color w:val="000000" w:themeColor="text1"/>
              </w:rPr>
              <w:t>2.3%</w:t>
            </w:r>
          </w:p>
        </w:tc>
        <w:tc>
          <w:tcPr>
            <w:tcW w:w="1523" w:type="dxa"/>
            <w:shd w:val="clear" w:color="auto" w:fill="DFDEDE" w:themeFill="text2" w:themeFillTint="33"/>
            <w:vAlign w:val="center"/>
          </w:tcPr>
          <w:p w14:paraId="2C2AD3C9" w14:textId="77777777" w:rsidR="00C94F45" w:rsidRPr="00AD2078" w:rsidRDefault="00C94F45" w:rsidP="00E91A5A">
            <w:pPr>
              <w:jc w:val="both"/>
              <w:rPr>
                <w:color w:val="000000" w:themeColor="text1"/>
              </w:rPr>
            </w:pPr>
            <w:r>
              <w:rPr>
                <w:color w:val="000000"/>
              </w:rPr>
              <w:t>0.4%</w:t>
            </w:r>
          </w:p>
        </w:tc>
      </w:tr>
      <w:tr w:rsidR="00C94F45" w:rsidRPr="00694C46" w14:paraId="15F9F210" w14:textId="77777777" w:rsidTr="00C94F45">
        <w:trPr>
          <w:trHeight w:val="289"/>
        </w:trPr>
        <w:tc>
          <w:tcPr>
            <w:tcW w:w="4767" w:type="dxa"/>
            <w:shd w:val="clear" w:color="auto" w:fill="auto"/>
            <w:noWrap/>
            <w:vAlign w:val="center"/>
            <w:hideMark/>
          </w:tcPr>
          <w:p w14:paraId="11378129" w14:textId="77777777" w:rsidR="00C94F45" w:rsidRPr="00AD2078" w:rsidRDefault="00C94F45" w:rsidP="00E91A5A">
            <w:pPr>
              <w:jc w:val="both"/>
              <w:rPr>
                <w:color w:val="000000" w:themeColor="text1"/>
              </w:rPr>
            </w:pPr>
            <w:r>
              <w:rPr>
                <w:color w:val="000000" w:themeColor="text1"/>
              </w:rPr>
              <w:t xml:space="preserve">Mixed or multiple ethnic groups </w:t>
            </w:r>
          </w:p>
        </w:tc>
        <w:tc>
          <w:tcPr>
            <w:tcW w:w="1424" w:type="dxa"/>
            <w:shd w:val="clear" w:color="auto" w:fill="auto"/>
            <w:noWrap/>
            <w:vAlign w:val="center"/>
            <w:hideMark/>
          </w:tcPr>
          <w:p w14:paraId="1962B7FF" w14:textId="77777777" w:rsidR="00C94F45" w:rsidRPr="00AD2078" w:rsidRDefault="00C94F45" w:rsidP="00E91A5A">
            <w:pPr>
              <w:jc w:val="both"/>
              <w:rPr>
                <w:color w:val="000000" w:themeColor="text1"/>
              </w:rPr>
            </w:pPr>
            <w:r>
              <w:rPr>
                <w:color w:val="000000"/>
              </w:rPr>
              <w:t>2.7%</w:t>
            </w:r>
          </w:p>
        </w:tc>
        <w:tc>
          <w:tcPr>
            <w:tcW w:w="1495" w:type="dxa"/>
            <w:shd w:val="clear" w:color="auto" w:fill="auto"/>
            <w:noWrap/>
            <w:vAlign w:val="center"/>
            <w:hideMark/>
          </w:tcPr>
          <w:p w14:paraId="7B3981A8" w14:textId="77777777" w:rsidR="00C94F45" w:rsidRPr="00AD2078" w:rsidRDefault="00C94F45" w:rsidP="00E91A5A">
            <w:pPr>
              <w:jc w:val="both"/>
              <w:rPr>
                <w:color w:val="000000" w:themeColor="text1"/>
              </w:rPr>
            </w:pPr>
            <w:r>
              <w:rPr>
                <w:color w:val="000000" w:themeColor="text1"/>
              </w:rPr>
              <w:t>1.8%</w:t>
            </w:r>
          </w:p>
        </w:tc>
        <w:tc>
          <w:tcPr>
            <w:tcW w:w="1523" w:type="dxa"/>
            <w:shd w:val="clear" w:color="auto" w:fill="DFDEDE" w:themeFill="text2" w:themeFillTint="33"/>
            <w:vAlign w:val="center"/>
          </w:tcPr>
          <w:p w14:paraId="683009EF" w14:textId="77777777" w:rsidR="00C94F45" w:rsidRPr="00AD2078" w:rsidRDefault="00C94F45" w:rsidP="00E91A5A">
            <w:pPr>
              <w:jc w:val="both"/>
              <w:rPr>
                <w:color w:val="000000" w:themeColor="text1"/>
              </w:rPr>
            </w:pPr>
            <w:r>
              <w:rPr>
                <w:color w:val="000000"/>
              </w:rPr>
              <w:t>0.9%</w:t>
            </w:r>
          </w:p>
        </w:tc>
      </w:tr>
      <w:tr w:rsidR="00C94F45" w:rsidRPr="00694C46" w14:paraId="5E140A78" w14:textId="77777777" w:rsidTr="00C94F45">
        <w:trPr>
          <w:trHeight w:val="289"/>
        </w:trPr>
        <w:tc>
          <w:tcPr>
            <w:tcW w:w="4767" w:type="dxa"/>
            <w:noWrap/>
            <w:vAlign w:val="center"/>
            <w:hideMark/>
          </w:tcPr>
          <w:p w14:paraId="30C81A4B" w14:textId="77777777" w:rsidR="00C94F45" w:rsidRPr="00AD2078" w:rsidRDefault="00C94F45" w:rsidP="00E91A5A">
            <w:pPr>
              <w:jc w:val="both"/>
              <w:rPr>
                <w:color w:val="000000" w:themeColor="text1"/>
              </w:rPr>
            </w:pPr>
            <w:proofErr w:type="gramStart"/>
            <w:r>
              <w:rPr>
                <w:color w:val="000000" w:themeColor="text1"/>
              </w:rPr>
              <w:t>Other</w:t>
            </w:r>
            <w:proofErr w:type="gramEnd"/>
            <w:r>
              <w:rPr>
                <w:color w:val="000000" w:themeColor="text1"/>
              </w:rPr>
              <w:t xml:space="preserve"> ethnic group </w:t>
            </w:r>
          </w:p>
        </w:tc>
        <w:tc>
          <w:tcPr>
            <w:tcW w:w="1424" w:type="dxa"/>
            <w:noWrap/>
            <w:vAlign w:val="center"/>
            <w:hideMark/>
          </w:tcPr>
          <w:p w14:paraId="07A577DB" w14:textId="77777777" w:rsidR="00C94F45" w:rsidRPr="00AD2078" w:rsidRDefault="00C94F45" w:rsidP="00E91A5A">
            <w:pPr>
              <w:jc w:val="both"/>
              <w:rPr>
                <w:color w:val="000000" w:themeColor="text1"/>
              </w:rPr>
            </w:pPr>
            <w:r>
              <w:rPr>
                <w:color w:val="000000"/>
              </w:rPr>
              <w:t>1.6%</w:t>
            </w:r>
          </w:p>
        </w:tc>
        <w:tc>
          <w:tcPr>
            <w:tcW w:w="1495" w:type="dxa"/>
            <w:noWrap/>
            <w:vAlign w:val="center"/>
            <w:hideMark/>
          </w:tcPr>
          <w:p w14:paraId="71F3C068" w14:textId="77777777" w:rsidR="00C94F45" w:rsidRPr="00AD2078" w:rsidRDefault="00C94F45" w:rsidP="00E91A5A">
            <w:pPr>
              <w:jc w:val="both"/>
              <w:rPr>
                <w:color w:val="000000" w:themeColor="text1"/>
              </w:rPr>
            </w:pPr>
            <w:r>
              <w:rPr>
                <w:color w:val="000000" w:themeColor="text1"/>
              </w:rPr>
              <w:t>0.8%</w:t>
            </w:r>
          </w:p>
        </w:tc>
        <w:tc>
          <w:tcPr>
            <w:tcW w:w="1523" w:type="dxa"/>
            <w:shd w:val="clear" w:color="auto" w:fill="DFDEDE" w:themeFill="text2" w:themeFillTint="33"/>
            <w:vAlign w:val="center"/>
          </w:tcPr>
          <w:p w14:paraId="2F294A4C" w14:textId="77777777" w:rsidR="00C94F45" w:rsidRPr="00AD2078" w:rsidRDefault="00C94F45" w:rsidP="00E91A5A">
            <w:pPr>
              <w:jc w:val="both"/>
              <w:rPr>
                <w:color w:val="000000" w:themeColor="text1"/>
              </w:rPr>
            </w:pPr>
            <w:r>
              <w:rPr>
                <w:color w:val="000000"/>
              </w:rPr>
              <w:t>0.8%</w:t>
            </w:r>
          </w:p>
        </w:tc>
      </w:tr>
      <w:tr w:rsidR="00C94F45" w:rsidRPr="00694C46" w14:paraId="206658AB" w14:textId="77777777" w:rsidTr="00C94F45">
        <w:trPr>
          <w:trHeight w:val="289"/>
        </w:trPr>
        <w:tc>
          <w:tcPr>
            <w:tcW w:w="4767" w:type="dxa"/>
            <w:noWrap/>
            <w:vAlign w:val="center"/>
            <w:hideMark/>
          </w:tcPr>
          <w:p w14:paraId="41E274A9" w14:textId="77777777" w:rsidR="00C94F45" w:rsidRPr="00AD2078" w:rsidRDefault="00C94F45" w:rsidP="00E91A5A">
            <w:pPr>
              <w:jc w:val="both"/>
              <w:rPr>
                <w:color w:val="000000" w:themeColor="text1"/>
              </w:rPr>
            </w:pPr>
            <w:r>
              <w:rPr>
                <w:color w:val="000000" w:themeColor="text1"/>
              </w:rPr>
              <w:t xml:space="preserve">Asian or Asian British </w:t>
            </w:r>
          </w:p>
        </w:tc>
        <w:tc>
          <w:tcPr>
            <w:tcW w:w="1424" w:type="dxa"/>
            <w:noWrap/>
            <w:vAlign w:val="center"/>
            <w:hideMark/>
          </w:tcPr>
          <w:p w14:paraId="27A253C8" w14:textId="77777777" w:rsidR="00C94F45" w:rsidRPr="00AD2078" w:rsidRDefault="00C94F45" w:rsidP="00E91A5A">
            <w:pPr>
              <w:jc w:val="both"/>
              <w:rPr>
                <w:color w:val="000000" w:themeColor="text1"/>
              </w:rPr>
            </w:pPr>
            <w:r>
              <w:rPr>
                <w:color w:val="000000"/>
              </w:rPr>
              <w:t>1.0%</w:t>
            </w:r>
          </w:p>
        </w:tc>
        <w:tc>
          <w:tcPr>
            <w:tcW w:w="1495" w:type="dxa"/>
            <w:noWrap/>
            <w:vAlign w:val="center"/>
            <w:hideMark/>
          </w:tcPr>
          <w:p w14:paraId="1974F813" w14:textId="77777777" w:rsidR="00C94F45" w:rsidRPr="00AD2078" w:rsidRDefault="00C94F45" w:rsidP="00E91A5A">
            <w:pPr>
              <w:jc w:val="both"/>
              <w:rPr>
                <w:color w:val="000000" w:themeColor="text1"/>
              </w:rPr>
            </w:pPr>
            <w:r>
              <w:rPr>
                <w:color w:val="000000" w:themeColor="text1"/>
              </w:rPr>
              <w:t>0.9%</w:t>
            </w:r>
          </w:p>
        </w:tc>
        <w:tc>
          <w:tcPr>
            <w:tcW w:w="1523" w:type="dxa"/>
            <w:shd w:val="clear" w:color="auto" w:fill="DFDEDE" w:themeFill="text2" w:themeFillTint="33"/>
            <w:vAlign w:val="center"/>
          </w:tcPr>
          <w:p w14:paraId="375DB144" w14:textId="77777777" w:rsidR="00C94F45" w:rsidRPr="00AD2078" w:rsidRDefault="00C94F45" w:rsidP="00E91A5A">
            <w:pPr>
              <w:jc w:val="both"/>
              <w:rPr>
                <w:color w:val="000000" w:themeColor="text1"/>
              </w:rPr>
            </w:pPr>
            <w:r>
              <w:rPr>
                <w:color w:val="000000"/>
              </w:rPr>
              <w:t>0.1%</w:t>
            </w:r>
          </w:p>
        </w:tc>
      </w:tr>
    </w:tbl>
    <w:p w14:paraId="11645F3B" w14:textId="77777777" w:rsidR="00C94F45" w:rsidRDefault="00C94F45" w:rsidP="00E91A5A">
      <w:pPr>
        <w:jc w:val="both"/>
      </w:pPr>
    </w:p>
    <w:p w14:paraId="52A61C5F" w14:textId="77777777" w:rsidR="00C94F45" w:rsidRDefault="00C94F45" w:rsidP="00E91A5A">
      <w:pPr>
        <w:jc w:val="both"/>
      </w:pPr>
      <w:r>
        <w:t>We can also compare representativeness across the following criteria - building type, property size, local authority:</w:t>
      </w:r>
    </w:p>
    <w:p w14:paraId="26137E8C" w14:textId="77777777" w:rsidR="009E112C" w:rsidRDefault="009E112C" w:rsidP="00E91A5A">
      <w:pPr>
        <w:jc w:val="both"/>
      </w:pPr>
    </w:p>
    <w:tbl>
      <w:tblPr>
        <w:tblStyle w:val="TableGrid"/>
        <w:tblW w:w="0" w:type="auto"/>
        <w:tblLook w:val="04A0" w:firstRow="1" w:lastRow="0" w:firstColumn="1" w:lastColumn="0" w:noHBand="0" w:noVBand="1"/>
      </w:tblPr>
      <w:tblGrid>
        <w:gridCol w:w="4602"/>
        <w:gridCol w:w="1537"/>
        <w:gridCol w:w="1511"/>
        <w:gridCol w:w="1366"/>
      </w:tblGrid>
      <w:tr w:rsidR="00C94F45" w:rsidRPr="00EA7730" w14:paraId="05C462A9" w14:textId="77777777" w:rsidTr="00AB0C7D">
        <w:trPr>
          <w:trHeight w:val="308"/>
        </w:trPr>
        <w:tc>
          <w:tcPr>
            <w:tcW w:w="4602" w:type="dxa"/>
            <w:noWrap/>
            <w:hideMark/>
          </w:tcPr>
          <w:p w14:paraId="499B3C5B" w14:textId="77777777" w:rsidR="00C94F45" w:rsidRPr="0078359C" w:rsidRDefault="00C94F45" w:rsidP="00E91A5A">
            <w:pPr>
              <w:jc w:val="both"/>
              <w:rPr>
                <w:b/>
                <w:bCs/>
                <w:color w:val="000000" w:themeColor="text1"/>
              </w:rPr>
            </w:pPr>
            <w:r w:rsidRPr="0078359C">
              <w:rPr>
                <w:b/>
                <w:bCs/>
                <w:color w:val="000000" w:themeColor="text1"/>
              </w:rPr>
              <w:t>Building Type</w:t>
            </w:r>
          </w:p>
        </w:tc>
        <w:tc>
          <w:tcPr>
            <w:tcW w:w="1537" w:type="dxa"/>
            <w:noWrap/>
            <w:hideMark/>
          </w:tcPr>
          <w:p w14:paraId="636752B6" w14:textId="77777777" w:rsidR="00C94F45" w:rsidRPr="0078359C" w:rsidRDefault="00C94F45" w:rsidP="00E91A5A">
            <w:pPr>
              <w:jc w:val="both"/>
              <w:rPr>
                <w:color w:val="000000" w:themeColor="text1"/>
              </w:rPr>
            </w:pPr>
            <w:r w:rsidRPr="0078359C">
              <w:rPr>
                <w:color w:val="000000" w:themeColor="text1"/>
              </w:rPr>
              <w:t>Sample</w:t>
            </w:r>
          </w:p>
        </w:tc>
        <w:tc>
          <w:tcPr>
            <w:tcW w:w="1511" w:type="dxa"/>
            <w:noWrap/>
            <w:hideMark/>
          </w:tcPr>
          <w:p w14:paraId="0DDD004A" w14:textId="77777777" w:rsidR="00C94F45" w:rsidRPr="0078359C" w:rsidRDefault="00C94F45" w:rsidP="00E91A5A">
            <w:pPr>
              <w:jc w:val="both"/>
              <w:rPr>
                <w:color w:val="000000" w:themeColor="text1"/>
              </w:rPr>
            </w:pPr>
            <w:r w:rsidRPr="0078359C">
              <w:rPr>
                <w:color w:val="000000" w:themeColor="text1"/>
              </w:rPr>
              <w:t>Database</w:t>
            </w:r>
          </w:p>
        </w:tc>
        <w:tc>
          <w:tcPr>
            <w:tcW w:w="1366" w:type="dxa"/>
          </w:tcPr>
          <w:p w14:paraId="7260C722" w14:textId="77777777" w:rsidR="00C94F45" w:rsidRPr="0078359C" w:rsidRDefault="00C94F45" w:rsidP="00E91A5A">
            <w:pPr>
              <w:jc w:val="both"/>
              <w:rPr>
                <w:color w:val="000000" w:themeColor="text1"/>
              </w:rPr>
            </w:pPr>
            <w:r w:rsidRPr="0078359C">
              <w:rPr>
                <w:color w:val="000000" w:themeColor="text1"/>
              </w:rPr>
              <w:t>Difference</w:t>
            </w:r>
          </w:p>
        </w:tc>
      </w:tr>
      <w:tr w:rsidR="00C94F45" w:rsidRPr="00EA7730" w14:paraId="47A21BF5" w14:textId="77777777" w:rsidTr="00AB0C7D">
        <w:trPr>
          <w:trHeight w:val="308"/>
        </w:trPr>
        <w:tc>
          <w:tcPr>
            <w:tcW w:w="4602" w:type="dxa"/>
            <w:shd w:val="clear" w:color="auto" w:fill="auto"/>
            <w:noWrap/>
            <w:vAlign w:val="center"/>
            <w:hideMark/>
          </w:tcPr>
          <w:p w14:paraId="5A0991E2" w14:textId="77777777" w:rsidR="00C94F45" w:rsidRPr="0078359C" w:rsidRDefault="00C94F45" w:rsidP="00E91A5A">
            <w:pPr>
              <w:jc w:val="both"/>
              <w:rPr>
                <w:color w:val="000000" w:themeColor="text1"/>
              </w:rPr>
            </w:pPr>
            <w:r>
              <w:rPr>
                <w:color w:val="000000" w:themeColor="text1"/>
              </w:rPr>
              <w:t xml:space="preserve">House </w:t>
            </w:r>
          </w:p>
        </w:tc>
        <w:tc>
          <w:tcPr>
            <w:tcW w:w="1537" w:type="dxa"/>
            <w:shd w:val="clear" w:color="auto" w:fill="auto"/>
            <w:noWrap/>
            <w:vAlign w:val="center"/>
            <w:hideMark/>
          </w:tcPr>
          <w:p w14:paraId="3C2E768D" w14:textId="77777777" w:rsidR="00C94F45" w:rsidRPr="0078359C" w:rsidRDefault="00C94F45" w:rsidP="00E91A5A">
            <w:pPr>
              <w:jc w:val="both"/>
              <w:rPr>
                <w:color w:val="000000" w:themeColor="text1"/>
              </w:rPr>
            </w:pPr>
            <w:r>
              <w:rPr>
                <w:color w:val="000000"/>
              </w:rPr>
              <w:t>35.7%</w:t>
            </w:r>
          </w:p>
        </w:tc>
        <w:tc>
          <w:tcPr>
            <w:tcW w:w="1511" w:type="dxa"/>
            <w:shd w:val="clear" w:color="auto" w:fill="auto"/>
            <w:noWrap/>
            <w:vAlign w:val="center"/>
            <w:hideMark/>
          </w:tcPr>
          <w:p w14:paraId="5D86C4D4" w14:textId="77777777" w:rsidR="00C94F45" w:rsidRPr="0078359C" w:rsidRDefault="00C94F45" w:rsidP="00E91A5A">
            <w:pPr>
              <w:jc w:val="both"/>
              <w:rPr>
                <w:color w:val="000000" w:themeColor="text1"/>
              </w:rPr>
            </w:pPr>
            <w:r>
              <w:rPr>
                <w:color w:val="000000" w:themeColor="text1"/>
              </w:rPr>
              <w:t>42.4%</w:t>
            </w:r>
          </w:p>
        </w:tc>
        <w:tc>
          <w:tcPr>
            <w:tcW w:w="1366" w:type="dxa"/>
            <w:shd w:val="clear" w:color="auto" w:fill="DFDEDE" w:themeFill="text2" w:themeFillTint="33"/>
            <w:vAlign w:val="center"/>
          </w:tcPr>
          <w:p w14:paraId="1639EF68" w14:textId="77777777" w:rsidR="00C94F45" w:rsidRPr="0078359C" w:rsidRDefault="00C94F45" w:rsidP="00E91A5A">
            <w:pPr>
              <w:jc w:val="both"/>
              <w:rPr>
                <w:color w:val="000000" w:themeColor="text1"/>
              </w:rPr>
            </w:pPr>
            <w:r>
              <w:t>-6.7%</w:t>
            </w:r>
          </w:p>
        </w:tc>
      </w:tr>
      <w:tr w:rsidR="00C94F45" w:rsidRPr="00EA7730" w14:paraId="10738A7C" w14:textId="77777777" w:rsidTr="00AB0C7D">
        <w:trPr>
          <w:trHeight w:val="308"/>
        </w:trPr>
        <w:tc>
          <w:tcPr>
            <w:tcW w:w="4602" w:type="dxa"/>
            <w:shd w:val="clear" w:color="auto" w:fill="auto"/>
            <w:noWrap/>
            <w:vAlign w:val="center"/>
            <w:hideMark/>
          </w:tcPr>
          <w:p w14:paraId="3117622B" w14:textId="77777777" w:rsidR="00C94F45" w:rsidRPr="0078359C" w:rsidRDefault="00C94F45" w:rsidP="00E91A5A">
            <w:pPr>
              <w:jc w:val="both"/>
              <w:rPr>
                <w:color w:val="000000" w:themeColor="text1"/>
              </w:rPr>
            </w:pPr>
            <w:r>
              <w:rPr>
                <w:color w:val="000000" w:themeColor="text1"/>
              </w:rPr>
              <w:t>Flat</w:t>
            </w:r>
          </w:p>
        </w:tc>
        <w:tc>
          <w:tcPr>
            <w:tcW w:w="1537" w:type="dxa"/>
            <w:shd w:val="clear" w:color="auto" w:fill="auto"/>
            <w:noWrap/>
            <w:vAlign w:val="center"/>
            <w:hideMark/>
          </w:tcPr>
          <w:p w14:paraId="691DCF21" w14:textId="77777777" w:rsidR="00C94F45" w:rsidRPr="0078359C" w:rsidRDefault="00C94F45" w:rsidP="00E91A5A">
            <w:pPr>
              <w:jc w:val="both"/>
              <w:rPr>
                <w:color w:val="000000" w:themeColor="text1"/>
              </w:rPr>
            </w:pPr>
            <w:r>
              <w:rPr>
                <w:color w:val="000000"/>
              </w:rPr>
              <w:t>44.8%</w:t>
            </w:r>
          </w:p>
        </w:tc>
        <w:tc>
          <w:tcPr>
            <w:tcW w:w="1511" w:type="dxa"/>
            <w:shd w:val="clear" w:color="auto" w:fill="auto"/>
            <w:noWrap/>
            <w:vAlign w:val="center"/>
            <w:hideMark/>
          </w:tcPr>
          <w:p w14:paraId="37A01814" w14:textId="77777777" w:rsidR="00C94F45" w:rsidRPr="0078359C" w:rsidRDefault="00C94F45" w:rsidP="00E91A5A">
            <w:pPr>
              <w:jc w:val="both"/>
              <w:rPr>
                <w:color w:val="000000" w:themeColor="text1"/>
              </w:rPr>
            </w:pPr>
            <w:r>
              <w:rPr>
                <w:color w:val="000000" w:themeColor="text1"/>
              </w:rPr>
              <w:t>40.0%</w:t>
            </w:r>
          </w:p>
        </w:tc>
        <w:tc>
          <w:tcPr>
            <w:tcW w:w="1366" w:type="dxa"/>
            <w:shd w:val="clear" w:color="auto" w:fill="DFDEDE" w:themeFill="text2" w:themeFillTint="33"/>
            <w:vAlign w:val="center"/>
          </w:tcPr>
          <w:p w14:paraId="13C8911C" w14:textId="77777777" w:rsidR="00C94F45" w:rsidRPr="0078359C" w:rsidRDefault="00C94F45" w:rsidP="00E91A5A">
            <w:pPr>
              <w:jc w:val="both"/>
              <w:rPr>
                <w:color w:val="000000" w:themeColor="text1"/>
              </w:rPr>
            </w:pPr>
            <w:r>
              <w:rPr>
                <w:color w:val="000000"/>
              </w:rPr>
              <w:t>4.8%</w:t>
            </w:r>
          </w:p>
        </w:tc>
      </w:tr>
      <w:tr w:rsidR="00C94F45" w:rsidRPr="00EA7730" w14:paraId="775623E1" w14:textId="77777777" w:rsidTr="00AB0C7D">
        <w:trPr>
          <w:trHeight w:val="308"/>
        </w:trPr>
        <w:tc>
          <w:tcPr>
            <w:tcW w:w="4602" w:type="dxa"/>
            <w:shd w:val="clear" w:color="auto" w:fill="auto"/>
            <w:noWrap/>
            <w:vAlign w:val="center"/>
            <w:hideMark/>
          </w:tcPr>
          <w:p w14:paraId="3B946A13" w14:textId="77777777" w:rsidR="00C94F45" w:rsidRPr="0078359C" w:rsidRDefault="00C94F45" w:rsidP="00E91A5A">
            <w:pPr>
              <w:jc w:val="both"/>
              <w:rPr>
                <w:color w:val="000000" w:themeColor="text1"/>
              </w:rPr>
            </w:pPr>
            <w:r>
              <w:rPr>
                <w:color w:val="000000" w:themeColor="text1"/>
              </w:rPr>
              <w:t xml:space="preserve">Bungalow </w:t>
            </w:r>
          </w:p>
        </w:tc>
        <w:tc>
          <w:tcPr>
            <w:tcW w:w="1537" w:type="dxa"/>
            <w:shd w:val="clear" w:color="auto" w:fill="auto"/>
            <w:noWrap/>
            <w:vAlign w:val="center"/>
            <w:hideMark/>
          </w:tcPr>
          <w:p w14:paraId="47B62921" w14:textId="77777777" w:rsidR="00C94F45" w:rsidRPr="0078359C" w:rsidRDefault="00C94F45" w:rsidP="00E91A5A">
            <w:pPr>
              <w:jc w:val="both"/>
              <w:rPr>
                <w:color w:val="000000" w:themeColor="text1"/>
              </w:rPr>
            </w:pPr>
            <w:r>
              <w:rPr>
                <w:color w:val="000000"/>
              </w:rPr>
              <w:t>12.6%</w:t>
            </w:r>
          </w:p>
        </w:tc>
        <w:tc>
          <w:tcPr>
            <w:tcW w:w="1511" w:type="dxa"/>
            <w:shd w:val="clear" w:color="auto" w:fill="auto"/>
            <w:noWrap/>
            <w:vAlign w:val="center"/>
            <w:hideMark/>
          </w:tcPr>
          <w:p w14:paraId="3254A2BE" w14:textId="77777777" w:rsidR="00C94F45" w:rsidRPr="0078359C" w:rsidRDefault="00C94F45" w:rsidP="00E91A5A">
            <w:pPr>
              <w:jc w:val="both"/>
              <w:rPr>
                <w:color w:val="000000" w:themeColor="text1"/>
              </w:rPr>
            </w:pPr>
            <w:r>
              <w:rPr>
                <w:color w:val="000000" w:themeColor="text1"/>
              </w:rPr>
              <w:t>11.2%</w:t>
            </w:r>
          </w:p>
        </w:tc>
        <w:tc>
          <w:tcPr>
            <w:tcW w:w="1366" w:type="dxa"/>
            <w:shd w:val="clear" w:color="auto" w:fill="DFDEDE" w:themeFill="text2" w:themeFillTint="33"/>
            <w:vAlign w:val="center"/>
          </w:tcPr>
          <w:p w14:paraId="73F41EFF" w14:textId="77777777" w:rsidR="00C94F45" w:rsidRPr="0078359C" w:rsidRDefault="00C94F45" w:rsidP="00E91A5A">
            <w:pPr>
              <w:jc w:val="both"/>
              <w:rPr>
                <w:color w:val="000000" w:themeColor="text1"/>
              </w:rPr>
            </w:pPr>
            <w:r>
              <w:rPr>
                <w:color w:val="000000"/>
              </w:rPr>
              <w:t>1.4%</w:t>
            </w:r>
          </w:p>
        </w:tc>
      </w:tr>
      <w:tr w:rsidR="00C94F45" w:rsidRPr="00EA7730" w14:paraId="65DE44E6" w14:textId="77777777" w:rsidTr="00AB0C7D">
        <w:trPr>
          <w:trHeight w:val="308"/>
        </w:trPr>
        <w:tc>
          <w:tcPr>
            <w:tcW w:w="4602" w:type="dxa"/>
            <w:shd w:val="clear" w:color="auto" w:fill="auto"/>
            <w:noWrap/>
            <w:vAlign w:val="center"/>
            <w:hideMark/>
          </w:tcPr>
          <w:p w14:paraId="3EAB69B2" w14:textId="77777777" w:rsidR="00C94F45" w:rsidRPr="0078359C" w:rsidRDefault="00C94F45" w:rsidP="00E91A5A">
            <w:pPr>
              <w:jc w:val="both"/>
              <w:rPr>
                <w:color w:val="000000" w:themeColor="text1"/>
              </w:rPr>
            </w:pPr>
            <w:r>
              <w:rPr>
                <w:color w:val="000000" w:themeColor="text1"/>
              </w:rPr>
              <w:t xml:space="preserve">Maisonette </w:t>
            </w:r>
          </w:p>
        </w:tc>
        <w:tc>
          <w:tcPr>
            <w:tcW w:w="1537" w:type="dxa"/>
            <w:shd w:val="clear" w:color="auto" w:fill="auto"/>
            <w:noWrap/>
            <w:vAlign w:val="center"/>
            <w:hideMark/>
          </w:tcPr>
          <w:p w14:paraId="5102AE5A" w14:textId="77777777" w:rsidR="00C94F45" w:rsidRPr="0078359C" w:rsidRDefault="00C94F45" w:rsidP="00E91A5A">
            <w:pPr>
              <w:jc w:val="both"/>
              <w:rPr>
                <w:color w:val="000000" w:themeColor="text1"/>
              </w:rPr>
            </w:pPr>
            <w:r>
              <w:rPr>
                <w:color w:val="000000"/>
              </w:rPr>
              <w:t>4.0%</w:t>
            </w:r>
          </w:p>
        </w:tc>
        <w:tc>
          <w:tcPr>
            <w:tcW w:w="1511" w:type="dxa"/>
            <w:shd w:val="clear" w:color="auto" w:fill="auto"/>
            <w:noWrap/>
            <w:vAlign w:val="center"/>
            <w:hideMark/>
          </w:tcPr>
          <w:p w14:paraId="6EE7809E" w14:textId="77777777" w:rsidR="00C94F45" w:rsidRPr="0078359C" w:rsidRDefault="00C94F45" w:rsidP="00E91A5A">
            <w:pPr>
              <w:jc w:val="both"/>
              <w:rPr>
                <w:color w:val="000000" w:themeColor="text1"/>
              </w:rPr>
            </w:pPr>
            <w:r>
              <w:rPr>
                <w:color w:val="000000" w:themeColor="text1"/>
              </w:rPr>
              <w:t>3.8%</w:t>
            </w:r>
          </w:p>
        </w:tc>
        <w:tc>
          <w:tcPr>
            <w:tcW w:w="1366" w:type="dxa"/>
            <w:shd w:val="clear" w:color="auto" w:fill="DFDEDE" w:themeFill="text2" w:themeFillTint="33"/>
            <w:vAlign w:val="center"/>
          </w:tcPr>
          <w:p w14:paraId="423E2A01" w14:textId="77777777" w:rsidR="00C94F45" w:rsidRPr="0078359C" w:rsidRDefault="00C94F45" w:rsidP="00E91A5A">
            <w:pPr>
              <w:jc w:val="both"/>
              <w:rPr>
                <w:color w:val="000000" w:themeColor="text1"/>
              </w:rPr>
            </w:pPr>
            <w:r>
              <w:rPr>
                <w:color w:val="000000"/>
              </w:rPr>
              <w:t>0.2%</w:t>
            </w:r>
          </w:p>
        </w:tc>
      </w:tr>
      <w:tr w:rsidR="00C94F45" w:rsidRPr="00EA7730" w14:paraId="4676D7DA" w14:textId="77777777" w:rsidTr="00AB0C7D">
        <w:trPr>
          <w:trHeight w:val="308"/>
        </w:trPr>
        <w:tc>
          <w:tcPr>
            <w:tcW w:w="4602" w:type="dxa"/>
            <w:noWrap/>
            <w:vAlign w:val="center"/>
            <w:hideMark/>
          </w:tcPr>
          <w:p w14:paraId="1B0611E9" w14:textId="77777777" w:rsidR="00C94F45" w:rsidRPr="0078359C" w:rsidRDefault="00C94F45" w:rsidP="00E91A5A">
            <w:pPr>
              <w:jc w:val="both"/>
              <w:rPr>
                <w:color w:val="000000" w:themeColor="text1"/>
                <w:highlight w:val="yellow"/>
              </w:rPr>
            </w:pPr>
            <w:r>
              <w:rPr>
                <w:color w:val="000000" w:themeColor="text1"/>
              </w:rPr>
              <w:t xml:space="preserve">Other </w:t>
            </w:r>
          </w:p>
        </w:tc>
        <w:tc>
          <w:tcPr>
            <w:tcW w:w="1537" w:type="dxa"/>
            <w:noWrap/>
            <w:vAlign w:val="center"/>
            <w:hideMark/>
          </w:tcPr>
          <w:p w14:paraId="52E9CFC4" w14:textId="77777777" w:rsidR="00C94F45" w:rsidRPr="0078359C" w:rsidRDefault="00C94F45" w:rsidP="00E91A5A">
            <w:pPr>
              <w:jc w:val="both"/>
              <w:rPr>
                <w:color w:val="000000" w:themeColor="text1"/>
              </w:rPr>
            </w:pPr>
            <w:r>
              <w:rPr>
                <w:color w:val="000000"/>
              </w:rPr>
              <w:t>2.9%</w:t>
            </w:r>
          </w:p>
        </w:tc>
        <w:tc>
          <w:tcPr>
            <w:tcW w:w="1511" w:type="dxa"/>
            <w:noWrap/>
            <w:vAlign w:val="center"/>
            <w:hideMark/>
          </w:tcPr>
          <w:p w14:paraId="6ED46DEA" w14:textId="77777777" w:rsidR="00C94F45" w:rsidRPr="0078359C" w:rsidRDefault="00C94F45" w:rsidP="00E91A5A">
            <w:pPr>
              <w:jc w:val="both"/>
              <w:rPr>
                <w:color w:val="000000" w:themeColor="text1"/>
              </w:rPr>
            </w:pPr>
            <w:r>
              <w:rPr>
                <w:color w:val="000000" w:themeColor="text1"/>
              </w:rPr>
              <w:t>2.6%</w:t>
            </w:r>
          </w:p>
        </w:tc>
        <w:tc>
          <w:tcPr>
            <w:tcW w:w="1366" w:type="dxa"/>
            <w:shd w:val="clear" w:color="auto" w:fill="DFDEDE" w:themeFill="text2" w:themeFillTint="33"/>
            <w:vAlign w:val="center"/>
          </w:tcPr>
          <w:p w14:paraId="6689906F" w14:textId="77777777" w:rsidR="00C94F45" w:rsidRPr="0078359C" w:rsidRDefault="00C94F45" w:rsidP="00E91A5A">
            <w:pPr>
              <w:jc w:val="both"/>
              <w:rPr>
                <w:color w:val="000000" w:themeColor="text1"/>
              </w:rPr>
            </w:pPr>
            <w:r>
              <w:rPr>
                <w:color w:val="000000"/>
              </w:rPr>
              <w:t>0.3%</w:t>
            </w:r>
          </w:p>
        </w:tc>
      </w:tr>
    </w:tbl>
    <w:p w14:paraId="5843A4C1" w14:textId="77777777" w:rsidR="00C94F45" w:rsidRDefault="00C94F45" w:rsidP="00E91A5A">
      <w:pPr>
        <w:jc w:val="both"/>
        <w:rPr>
          <w:color w:val="000000" w:themeColor="text1"/>
        </w:rPr>
      </w:pPr>
    </w:p>
    <w:tbl>
      <w:tblPr>
        <w:tblStyle w:val="TableGrid"/>
        <w:tblW w:w="0" w:type="auto"/>
        <w:tblLook w:val="04A0" w:firstRow="1" w:lastRow="0" w:firstColumn="1" w:lastColumn="0" w:noHBand="0" w:noVBand="1"/>
      </w:tblPr>
      <w:tblGrid>
        <w:gridCol w:w="4707"/>
        <w:gridCol w:w="1478"/>
        <w:gridCol w:w="1465"/>
        <w:gridCol w:w="1366"/>
      </w:tblGrid>
      <w:tr w:rsidR="00C94F45" w:rsidRPr="00EA7730" w14:paraId="1DC63072" w14:textId="77777777" w:rsidTr="00AB0C7D">
        <w:trPr>
          <w:trHeight w:val="297"/>
        </w:trPr>
        <w:tc>
          <w:tcPr>
            <w:tcW w:w="4707" w:type="dxa"/>
            <w:noWrap/>
            <w:hideMark/>
          </w:tcPr>
          <w:p w14:paraId="361462CB" w14:textId="77777777" w:rsidR="00C94F45" w:rsidRPr="00EA7730" w:rsidRDefault="00C94F45" w:rsidP="00E91A5A">
            <w:pPr>
              <w:jc w:val="both"/>
              <w:rPr>
                <w:color w:val="000000" w:themeColor="text1"/>
              </w:rPr>
            </w:pPr>
            <w:r>
              <w:rPr>
                <w:b/>
                <w:bCs/>
                <w:color w:val="000000" w:themeColor="text1"/>
              </w:rPr>
              <w:t>Local Authority</w:t>
            </w:r>
          </w:p>
        </w:tc>
        <w:tc>
          <w:tcPr>
            <w:tcW w:w="1478" w:type="dxa"/>
            <w:noWrap/>
            <w:hideMark/>
          </w:tcPr>
          <w:p w14:paraId="471EE80D" w14:textId="77777777" w:rsidR="00C94F45" w:rsidRPr="00EA7730" w:rsidRDefault="00C94F45" w:rsidP="00E91A5A">
            <w:pPr>
              <w:jc w:val="both"/>
              <w:rPr>
                <w:color w:val="000000" w:themeColor="text1"/>
              </w:rPr>
            </w:pPr>
            <w:r w:rsidRPr="00EA7730">
              <w:rPr>
                <w:color w:val="000000" w:themeColor="text1"/>
              </w:rPr>
              <w:t>Sample</w:t>
            </w:r>
          </w:p>
        </w:tc>
        <w:tc>
          <w:tcPr>
            <w:tcW w:w="1465" w:type="dxa"/>
            <w:noWrap/>
            <w:hideMark/>
          </w:tcPr>
          <w:p w14:paraId="07B9208E" w14:textId="77777777" w:rsidR="00C94F45" w:rsidRPr="00EA7730" w:rsidRDefault="00C94F45" w:rsidP="00E91A5A">
            <w:pPr>
              <w:jc w:val="both"/>
              <w:rPr>
                <w:color w:val="000000" w:themeColor="text1"/>
              </w:rPr>
            </w:pPr>
            <w:r w:rsidRPr="00EA7730">
              <w:rPr>
                <w:color w:val="000000" w:themeColor="text1"/>
              </w:rPr>
              <w:t>Database</w:t>
            </w:r>
          </w:p>
        </w:tc>
        <w:tc>
          <w:tcPr>
            <w:tcW w:w="1366" w:type="dxa"/>
          </w:tcPr>
          <w:p w14:paraId="6422954A" w14:textId="77777777" w:rsidR="00C94F45" w:rsidRPr="00EA7730" w:rsidRDefault="00C94F45" w:rsidP="00E91A5A">
            <w:pPr>
              <w:jc w:val="both"/>
              <w:rPr>
                <w:color w:val="000000" w:themeColor="text1"/>
              </w:rPr>
            </w:pPr>
            <w:r>
              <w:rPr>
                <w:color w:val="000000" w:themeColor="text1"/>
              </w:rPr>
              <w:t>Difference</w:t>
            </w:r>
          </w:p>
        </w:tc>
      </w:tr>
      <w:tr w:rsidR="00C94F45" w:rsidRPr="00EA7730" w14:paraId="5B4360EA" w14:textId="77777777" w:rsidTr="00AB0C7D">
        <w:trPr>
          <w:trHeight w:val="297"/>
        </w:trPr>
        <w:tc>
          <w:tcPr>
            <w:tcW w:w="4707" w:type="dxa"/>
            <w:shd w:val="clear" w:color="auto" w:fill="auto"/>
            <w:noWrap/>
            <w:vAlign w:val="center"/>
            <w:hideMark/>
          </w:tcPr>
          <w:p w14:paraId="573D42DB" w14:textId="77777777" w:rsidR="00C94F45" w:rsidRPr="00EA7730" w:rsidRDefault="00C94F45" w:rsidP="00E91A5A">
            <w:pPr>
              <w:jc w:val="both"/>
              <w:rPr>
                <w:color w:val="000000" w:themeColor="text1"/>
              </w:rPr>
            </w:pPr>
            <w:r>
              <w:rPr>
                <w:color w:val="000000" w:themeColor="text1"/>
              </w:rPr>
              <w:t xml:space="preserve">Bath &amp; Northeast Somerset </w:t>
            </w:r>
          </w:p>
        </w:tc>
        <w:tc>
          <w:tcPr>
            <w:tcW w:w="1478" w:type="dxa"/>
            <w:shd w:val="clear" w:color="auto" w:fill="auto"/>
            <w:noWrap/>
            <w:vAlign w:val="bottom"/>
            <w:hideMark/>
          </w:tcPr>
          <w:p w14:paraId="643AA34C" w14:textId="77777777" w:rsidR="00C94F45" w:rsidRPr="00AC3515" w:rsidRDefault="00C94F45" w:rsidP="00E91A5A">
            <w:pPr>
              <w:jc w:val="both"/>
              <w:rPr>
                <w:color w:val="000000"/>
              </w:rPr>
            </w:pPr>
            <w:r>
              <w:rPr>
                <w:color w:val="000000"/>
              </w:rPr>
              <w:t>76.0%</w:t>
            </w:r>
          </w:p>
        </w:tc>
        <w:tc>
          <w:tcPr>
            <w:tcW w:w="1465" w:type="dxa"/>
            <w:shd w:val="clear" w:color="auto" w:fill="auto"/>
            <w:noWrap/>
            <w:vAlign w:val="center"/>
            <w:hideMark/>
          </w:tcPr>
          <w:p w14:paraId="38978F59" w14:textId="77777777" w:rsidR="00C94F45" w:rsidRPr="00EA7730" w:rsidRDefault="00C94F45" w:rsidP="00E91A5A">
            <w:pPr>
              <w:jc w:val="both"/>
              <w:rPr>
                <w:color w:val="000000" w:themeColor="text1"/>
              </w:rPr>
            </w:pPr>
            <w:r>
              <w:rPr>
                <w:color w:val="000000" w:themeColor="text1"/>
              </w:rPr>
              <w:t>78.4%</w:t>
            </w:r>
          </w:p>
        </w:tc>
        <w:tc>
          <w:tcPr>
            <w:tcW w:w="1366" w:type="dxa"/>
            <w:shd w:val="clear" w:color="auto" w:fill="DFDEDE" w:themeFill="text2" w:themeFillTint="33"/>
            <w:vAlign w:val="center"/>
          </w:tcPr>
          <w:p w14:paraId="29632306" w14:textId="77777777" w:rsidR="00C94F45" w:rsidRPr="00EA7730" w:rsidRDefault="00C94F45" w:rsidP="00E91A5A">
            <w:pPr>
              <w:jc w:val="both"/>
              <w:rPr>
                <w:color w:val="000000" w:themeColor="text1"/>
              </w:rPr>
            </w:pPr>
            <w:r>
              <w:t>-2.4%</w:t>
            </w:r>
          </w:p>
        </w:tc>
      </w:tr>
      <w:tr w:rsidR="00C94F45" w:rsidRPr="00EA7730" w14:paraId="22C7B73C" w14:textId="77777777" w:rsidTr="00AB0C7D">
        <w:trPr>
          <w:trHeight w:val="297"/>
        </w:trPr>
        <w:tc>
          <w:tcPr>
            <w:tcW w:w="4707" w:type="dxa"/>
            <w:shd w:val="clear" w:color="auto" w:fill="auto"/>
            <w:noWrap/>
            <w:vAlign w:val="center"/>
            <w:hideMark/>
          </w:tcPr>
          <w:p w14:paraId="42E9D2A4" w14:textId="77777777" w:rsidR="00C94F45" w:rsidRPr="00EA7730" w:rsidRDefault="00C94F45" w:rsidP="00E91A5A">
            <w:pPr>
              <w:jc w:val="both"/>
              <w:rPr>
                <w:color w:val="000000" w:themeColor="text1"/>
              </w:rPr>
            </w:pPr>
            <w:r>
              <w:rPr>
                <w:color w:val="000000" w:themeColor="text1"/>
              </w:rPr>
              <w:t xml:space="preserve">Bristol </w:t>
            </w:r>
          </w:p>
        </w:tc>
        <w:tc>
          <w:tcPr>
            <w:tcW w:w="1478" w:type="dxa"/>
            <w:shd w:val="clear" w:color="auto" w:fill="auto"/>
            <w:noWrap/>
            <w:vAlign w:val="bottom"/>
            <w:hideMark/>
          </w:tcPr>
          <w:p w14:paraId="1F42AB0E" w14:textId="77777777" w:rsidR="00C94F45" w:rsidRPr="00AC3515" w:rsidRDefault="00C94F45" w:rsidP="00E91A5A">
            <w:pPr>
              <w:jc w:val="both"/>
              <w:rPr>
                <w:color w:val="000000"/>
              </w:rPr>
            </w:pPr>
            <w:r>
              <w:rPr>
                <w:color w:val="000000"/>
              </w:rPr>
              <w:t>9.7%</w:t>
            </w:r>
          </w:p>
        </w:tc>
        <w:tc>
          <w:tcPr>
            <w:tcW w:w="1465" w:type="dxa"/>
            <w:shd w:val="clear" w:color="auto" w:fill="auto"/>
            <w:noWrap/>
            <w:vAlign w:val="center"/>
            <w:hideMark/>
          </w:tcPr>
          <w:p w14:paraId="5BA90AE1" w14:textId="77777777" w:rsidR="00C94F45" w:rsidRPr="00EA7730" w:rsidRDefault="00C94F45" w:rsidP="00E91A5A">
            <w:pPr>
              <w:jc w:val="both"/>
              <w:rPr>
                <w:color w:val="000000" w:themeColor="text1"/>
              </w:rPr>
            </w:pPr>
            <w:r>
              <w:rPr>
                <w:color w:val="000000" w:themeColor="text1"/>
              </w:rPr>
              <w:t>7.9%</w:t>
            </w:r>
          </w:p>
        </w:tc>
        <w:tc>
          <w:tcPr>
            <w:tcW w:w="1366" w:type="dxa"/>
            <w:shd w:val="clear" w:color="auto" w:fill="DFDEDE" w:themeFill="text2" w:themeFillTint="33"/>
            <w:vAlign w:val="center"/>
          </w:tcPr>
          <w:p w14:paraId="7F134EEC" w14:textId="77777777" w:rsidR="00C94F45" w:rsidRPr="00EA7730" w:rsidRDefault="00C94F45" w:rsidP="00E91A5A">
            <w:pPr>
              <w:jc w:val="both"/>
              <w:rPr>
                <w:color w:val="000000" w:themeColor="text1"/>
              </w:rPr>
            </w:pPr>
            <w:r>
              <w:rPr>
                <w:color w:val="000000"/>
              </w:rPr>
              <w:t>1.8%</w:t>
            </w:r>
          </w:p>
        </w:tc>
      </w:tr>
      <w:tr w:rsidR="00C94F45" w:rsidRPr="00EA7730" w14:paraId="6DB90150" w14:textId="77777777" w:rsidTr="00AB0C7D">
        <w:trPr>
          <w:trHeight w:val="297"/>
        </w:trPr>
        <w:tc>
          <w:tcPr>
            <w:tcW w:w="4707" w:type="dxa"/>
            <w:shd w:val="clear" w:color="auto" w:fill="auto"/>
            <w:noWrap/>
            <w:vAlign w:val="center"/>
            <w:hideMark/>
          </w:tcPr>
          <w:p w14:paraId="62CD4A3E" w14:textId="77777777" w:rsidR="00C94F45" w:rsidRPr="00EA7730" w:rsidRDefault="00C94F45" w:rsidP="00E91A5A">
            <w:pPr>
              <w:jc w:val="both"/>
              <w:rPr>
                <w:color w:val="000000" w:themeColor="text1"/>
              </w:rPr>
            </w:pPr>
            <w:r>
              <w:rPr>
                <w:color w:val="000000" w:themeColor="text1"/>
              </w:rPr>
              <w:t xml:space="preserve">North Somerset </w:t>
            </w:r>
          </w:p>
        </w:tc>
        <w:tc>
          <w:tcPr>
            <w:tcW w:w="1478" w:type="dxa"/>
            <w:shd w:val="clear" w:color="auto" w:fill="auto"/>
            <w:noWrap/>
            <w:vAlign w:val="bottom"/>
            <w:hideMark/>
          </w:tcPr>
          <w:p w14:paraId="78A6175E" w14:textId="77777777" w:rsidR="00C94F45" w:rsidRPr="00AC3515" w:rsidRDefault="00C94F45" w:rsidP="00E91A5A">
            <w:pPr>
              <w:jc w:val="both"/>
              <w:rPr>
                <w:color w:val="000000"/>
              </w:rPr>
            </w:pPr>
            <w:r>
              <w:rPr>
                <w:color w:val="000000"/>
              </w:rPr>
              <w:t>4.9%</w:t>
            </w:r>
          </w:p>
        </w:tc>
        <w:tc>
          <w:tcPr>
            <w:tcW w:w="1465" w:type="dxa"/>
            <w:shd w:val="clear" w:color="auto" w:fill="auto"/>
            <w:noWrap/>
            <w:vAlign w:val="center"/>
            <w:hideMark/>
          </w:tcPr>
          <w:p w14:paraId="16DB721A" w14:textId="77777777" w:rsidR="00C94F45" w:rsidRPr="00EA7730" w:rsidRDefault="00C94F45" w:rsidP="00E91A5A">
            <w:pPr>
              <w:jc w:val="both"/>
              <w:rPr>
                <w:color w:val="000000" w:themeColor="text1"/>
              </w:rPr>
            </w:pPr>
            <w:r>
              <w:rPr>
                <w:color w:val="000000" w:themeColor="text1"/>
              </w:rPr>
              <w:t>3.9%</w:t>
            </w:r>
          </w:p>
        </w:tc>
        <w:tc>
          <w:tcPr>
            <w:tcW w:w="1366" w:type="dxa"/>
            <w:shd w:val="clear" w:color="auto" w:fill="DFDEDE" w:themeFill="text2" w:themeFillTint="33"/>
            <w:vAlign w:val="center"/>
          </w:tcPr>
          <w:p w14:paraId="7BB51A25" w14:textId="77777777" w:rsidR="00C94F45" w:rsidRPr="00EA7730" w:rsidRDefault="00C94F45" w:rsidP="00E91A5A">
            <w:pPr>
              <w:jc w:val="both"/>
              <w:rPr>
                <w:color w:val="000000" w:themeColor="text1"/>
              </w:rPr>
            </w:pPr>
            <w:r>
              <w:rPr>
                <w:color w:val="000000"/>
              </w:rPr>
              <w:t>1.0%</w:t>
            </w:r>
          </w:p>
        </w:tc>
      </w:tr>
      <w:tr w:rsidR="00C94F45" w:rsidRPr="00EA7730" w14:paraId="642F7B6A" w14:textId="77777777" w:rsidTr="00AB0C7D">
        <w:trPr>
          <w:trHeight w:val="297"/>
        </w:trPr>
        <w:tc>
          <w:tcPr>
            <w:tcW w:w="4707" w:type="dxa"/>
            <w:shd w:val="clear" w:color="auto" w:fill="auto"/>
            <w:noWrap/>
            <w:vAlign w:val="center"/>
            <w:hideMark/>
          </w:tcPr>
          <w:p w14:paraId="6D744E46" w14:textId="77777777" w:rsidR="00C94F45" w:rsidRPr="00EA7730" w:rsidRDefault="00C94F45" w:rsidP="00E91A5A">
            <w:pPr>
              <w:jc w:val="both"/>
              <w:rPr>
                <w:color w:val="000000" w:themeColor="text1"/>
              </w:rPr>
            </w:pPr>
            <w:r>
              <w:rPr>
                <w:color w:val="000000" w:themeColor="text1"/>
              </w:rPr>
              <w:t xml:space="preserve">South Gloucestershire </w:t>
            </w:r>
          </w:p>
        </w:tc>
        <w:tc>
          <w:tcPr>
            <w:tcW w:w="1478" w:type="dxa"/>
            <w:shd w:val="clear" w:color="auto" w:fill="auto"/>
            <w:noWrap/>
            <w:vAlign w:val="bottom"/>
            <w:hideMark/>
          </w:tcPr>
          <w:p w14:paraId="21EBC925" w14:textId="77777777" w:rsidR="00C94F45" w:rsidRPr="00AC3515" w:rsidRDefault="00C94F45" w:rsidP="00E91A5A">
            <w:pPr>
              <w:jc w:val="both"/>
              <w:rPr>
                <w:color w:val="000000"/>
              </w:rPr>
            </w:pPr>
            <w:r>
              <w:rPr>
                <w:color w:val="000000"/>
              </w:rPr>
              <w:t>4.6%</w:t>
            </w:r>
          </w:p>
        </w:tc>
        <w:tc>
          <w:tcPr>
            <w:tcW w:w="1465" w:type="dxa"/>
            <w:shd w:val="clear" w:color="auto" w:fill="auto"/>
            <w:noWrap/>
            <w:vAlign w:val="center"/>
            <w:hideMark/>
          </w:tcPr>
          <w:p w14:paraId="6D9051B4" w14:textId="77777777" w:rsidR="00C94F45" w:rsidRPr="00EA7730" w:rsidRDefault="00C94F45" w:rsidP="00E91A5A">
            <w:pPr>
              <w:jc w:val="both"/>
              <w:rPr>
                <w:color w:val="000000" w:themeColor="text1"/>
              </w:rPr>
            </w:pPr>
            <w:r>
              <w:rPr>
                <w:color w:val="000000" w:themeColor="text1"/>
              </w:rPr>
              <w:t>5.0%</w:t>
            </w:r>
          </w:p>
        </w:tc>
        <w:tc>
          <w:tcPr>
            <w:tcW w:w="1366" w:type="dxa"/>
            <w:shd w:val="clear" w:color="auto" w:fill="DFDEDE" w:themeFill="text2" w:themeFillTint="33"/>
            <w:vAlign w:val="center"/>
          </w:tcPr>
          <w:p w14:paraId="549B483F" w14:textId="77777777" w:rsidR="00C94F45" w:rsidRPr="00EA7730" w:rsidRDefault="00C94F45" w:rsidP="00E91A5A">
            <w:pPr>
              <w:jc w:val="both"/>
              <w:rPr>
                <w:color w:val="000000" w:themeColor="text1"/>
              </w:rPr>
            </w:pPr>
            <w:r>
              <w:rPr>
                <w:color w:val="000000"/>
              </w:rPr>
              <w:t>-0.4%</w:t>
            </w:r>
          </w:p>
        </w:tc>
      </w:tr>
      <w:tr w:rsidR="00C94F45" w:rsidRPr="00EA7730" w14:paraId="784C1458" w14:textId="77777777" w:rsidTr="00AB0C7D">
        <w:trPr>
          <w:trHeight w:val="297"/>
        </w:trPr>
        <w:tc>
          <w:tcPr>
            <w:tcW w:w="4707" w:type="dxa"/>
            <w:noWrap/>
            <w:vAlign w:val="center"/>
            <w:hideMark/>
          </w:tcPr>
          <w:p w14:paraId="0C9E8C3E" w14:textId="77777777" w:rsidR="00C94F45" w:rsidRPr="00EA7730" w:rsidRDefault="00C94F45" w:rsidP="00E91A5A">
            <w:pPr>
              <w:jc w:val="both"/>
              <w:rPr>
                <w:color w:val="000000" w:themeColor="text1"/>
              </w:rPr>
            </w:pPr>
            <w:r>
              <w:rPr>
                <w:color w:val="000000" w:themeColor="text1"/>
              </w:rPr>
              <w:t xml:space="preserve">Wiltshire </w:t>
            </w:r>
          </w:p>
        </w:tc>
        <w:tc>
          <w:tcPr>
            <w:tcW w:w="1478" w:type="dxa"/>
            <w:noWrap/>
            <w:vAlign w:val="bottom"/>
            <w:hideMark/>
          </w:tcPr>
          <w:p w14:paraId="3976EE3B" w14:textId="77777777" w:rsidR="00C94F45" w:rsidRPr="00AC3515" w:rsidRDefault="00C94F45" w:rsidP="00E91A5A">
            <w:pPr>
              <w:jc w:val="both"/>
              <w:rPr>
                <w:color w:val="000000"/>
              </w:rPr>
            </w:pPr>
            <w:r>
              <w:rPr>
                <w:color w:val="000000"/>
              </w:rPr>
              <w:t>3.9%</w:t>
            </w:r>
          </w:p>
        </w:tc>
        <w:tc>
          <w:tcPr>
            <w:tcW w:w="1465" w:type="dxa"/>
            <w:noWrap/>
            <w:vAlign w:val="center"/>
            <w:hideMark/>
          </w:tcPr>
          <w:p w14:paraId="229E20C2" w14:textId="77777777" w:rsidR="00C94F45" w:rsidRPr="00EA7730" w:rsidRDefault="00C94F45" w:rsidP="00E91A5A">
            <w:pPr>
              <w:jc w:val="both"/>
              <w:rPr>
                <w:color w:val="000000" w:themeColor="text1"/>
              </w:rPr>
            </w:pPr>
            <w:r>
              <w:rPr>
                <w:color w:val="000000" w:themeColor="text1"/>
              </w:rPr>
              <w:t>4.0%</w:t>
            </w:r>
          </w:p>
        </w:tc>
        <w:tc>
          <w:tcPr>
            <w:tcW w:w="1366" w:type="dxa"/>
            <w:shd w:val="clear" w:color="auto" w:fill="DFDEDE" w:themeFill="text2" w:themeFillTint="33"/>
            <w:vAlign w:val="center"/>
          </w:tcPr>
          <w:p w14:paraId="275B655B" w14:textId="77777777" w:rsidR="00C94F45" w:rsidRPr="00EA7730" w:rsidRDefault="00C94F45" w:rsidP="00E91A5A">
            <w:pPr>
              <w:jc w:val="both"/>
              <w:rPr>
                <w:color w:val="000000" w:themeColor="text1"/>
              </w:rPr>
            </w:pPr>
            <w:r>
              <w:rPr>
                <w:color w:val="000000"/>
              </w:rPr>
              <w:t>-0.1%</w:t>
            </w:r>
          </w:p>
        </w:tc>
      </w:tr>
      <w:tr w:rsidR="00C94F45" w:rsidRPr="00EA7730" w14:paraId="59008C1D" w14:textId="77777777" w:rsidTr="00AB0C7D">
        <w:trPr>
          <w:trHeight w:val="297"/>
        </w:trPr>
        <w:tc>
          <w:tcPr>
            <w:tcW w:w="4707" w:type="dxa"/>
            <w:noWrap/>
            <w:vAlign w:val="center"/>
            <w:hideMark/>
          </w:tcPr>
          <w:p w14:paraId="19B56E54" w14:textId="77777777" w:rsidR="00C94F45" w:rsidRPr="00EA7730" w:rsidRDefault="00C94F45" w:rsidP="00E91A5A">
            <w:pPr>
              <w:jc w:val="both"/>
              <w:rPr>
                <w:color w:val="000000" w:themeColor="text1"/>
              </w:rPr>
            </w:pPr>
            <w:r>
              <w:rPr>
                <w:color w:val="000000" w:themeColor="text1"/>
              </w:rPr>
              <w:t xml:space="preserve">Mendip </w:t>
            </w:r>
          </w:p>
        </w:tc>
        <w:tc>
          <w:tcPr>
            <w:tcW w:w="1478" w:type="dxa"/>
            <w:noWrap/>
            <w:vAlign w:val="bottom"/>
            <w:hideMark/>
          </w:tcPr>
          <w:p w14:paraId="605657D1" w14:textId="77777777" w:rsidR="00C94F45" w:rsidRPr="00AC3515" w:rsidRDefault="00C94F45" w:rsidP="00E91A5A">
            <w:pPr>
              <w:jc w:val="both"/>
              <w:rPr>
                <w:color w:val="000000"/>
              </w:rPr>
            </w:pPr>
            <w:r>
              <w:rPr>
                <w:color w:val="000000"/>
              </w:rPr>
              <w:t>0.9%</w:t>
            </w:r>
          </w:p>
        </w:tc>
        <w:tc>
          <w:tcPr>
            <w:tcW w:w="1465" w:type="dxa"/>
            <w:noWrap/>
            <w:vAlign w:val="center"/>
            <w:hideMark/>
          </w:tcPr>
          <w:p w14:paraId="6B73DBD1" w14:textId="77777777" w:rsidR="00C94F45" w:rsidRPr="00EA7730" w:rsidRDefault="00C94F45" w:rsidP="00E91A5A">
            <w:pPr>
              <w:jc w:val="both"/>
              <w:rPr>
                <w:color w:val="000000" w:themeColor="text1"/>
              </w:rPr>
            </w:pPr>
            <w:r>
              <w:rPr>
                <w:color w:val="000000" w:themeColor="text1"/>
              </w:rPr>
              <w:t>0.8%</w:t>
            </w:r>
          </w:p>
        </w:tc>
        <w:tc>
          <w:tcPr>
            <w:tcW w:w="1366" w:type="dxa"/>
            <w:shd w:val="clear" w:color="auto" w:fill="DFDEDE" w:themeFill="text2" w:themeFillTint="33"/>
            <w:vAlign w:val="center"/>
          </w:tcPr>
          <w:p w14:paraId="56C4DA89" w14:textId="77777777" w:rsidR="00C94F45" w:rsidRPr="00EA7730" w:rsidRDefault="00C94F45" w:rsidP="00E91A5A">
            <w:pPr>
              <w:jc w:val="both"/>
              <w:rPr>
                <w:color w:val="000000" w:themeColor="text1"/>
              </w:rPr>
            </w:pPr>
            <w:r>
              <w:rPr>
                <w:color w:val="000000"/>
              </w:rPr>
              <w:t>0.1%</w:t>
            </w:r>
          </w:p>
        </w:tc>
      </w:tr>
      <w:tr w:rsidR="00C94F45" w:rsidRPr="00EA7730" w14:paraId="576109C8" w14:textId="77777777" w:rsidTr="00AB0C7D">
        <w:trPr>
          <w:trHeight w:val="297"/>
        </w:trPr>
        <w:tc>
          <w:tcPr>
            <w:tcW w:w="4707" w:type="dxa"/>
            <w:noWrap/>
            <w:vAlign w:val="center"/>
            <w:hideMark/>
          </w:tcPr>
          <w:p w14:paraId="050C2648" w14:textId="77777777" w:rsidR="00C94F45" w:rsidRPr="00EA7730" w:rsidRDefault="00C94F45" w:rsidP="00E91A5A">
            <w:pPr>
              <w:jc w:val="both"/>
              <w:rPr>
                <w:color w:val="000000" w:themeColor="text1"/>
              </w:rPr>
            </w:pPr>
            <w:r>
              <w:rPr>
                <w:color w:val="000000" w:themeColor="text1"/>
              </w:rPr>
              <w:t xml:space="preserve">Cotswold </w:t>
            </w:r>
          </w:p>
        </w:tc>
        <w:tc>
          <w:tcPr>
            <w:tcW w:w="1478" w:type="dxa"/>
            <w:noWrap/>
            <w:vAlign w:val="center"/>
            <w:hideMark/>
          </w:tcPr>
          <w:p w14:paraId="3E25414B" w14:textId="77777777" w:rsidR="00C94F45" w:rsidRPr="00EA7730" w:rsidRDefault="00C94F45" w:rsidP="00E91A5A">
            <w:pPr>
              <w:jc w:val="both"/>
              <w:rPr>
                <w:color w:val="000000" w:themeColor="text1"/>
              </w:rPr>
            </w:pPr>
            <w:r>
              <w:rPr>
                <w:color w:val="000000"/>
              </w:rPr>
              <w:t>0.0%</w:t>
            </w:r>
          </w:p>
        </w:tc>
        <w:tc>
          <w:tcPr>
            <w:tcW w:w="1465" w:type="dxa"/>
            <w:noWrap/>
            <w:vAlign w:val="center"/>
            <w:hideMark/>
          </w:tcPr>
          <w:p w14:paraId="3646A95F" w14:textId="77777777" w:rsidR="00C94F45" w:rsidRPr="00EA7730" w:rsidRDefault="00C94F45" w:rsidP="00E91A5A">
            <w:pPr>
              <w:jc w:val="both"/>
              <w:rPr>
                <w:color w:val="000000" w:themeColor="text1"/>
              </w:rPr>
            </w:pPr>
            <w:r>
              <w:rPr>
                <w:color w:val="000000" w:themeColor="text1"/>
              </w:rPr>
              <w:t>0.0%</w:t>
            </w:r>
          </w:p>
        </w:tc>
        <w:tc>
          <w:tcPr>
            <w:tcW w:w="1366" w:type="dxa"/>
            <w:shd w:val="clear" w:color="auto" w:fill="DFDEDE" w:themeFill="text2" w:themeFillTint="33"/>
            <w:vAlign w:val="center"/>
          </w:tcPr>
          <w:p w14:paraId="4FDC7428" w14:textId="77777777" w:rsidR="00C94F45" w:rsidRPr="00EA7730" w:rsidRDefault="00C94F45" w:rsidP="00E91A5A">
            <w:pPr>
              <w:jc w:val="both"/>
              <w:rPr>
                <w:color w:val="000000" w:themeColor="text1"/>
              </w:rPr>
            </w:pPr>
            <w:r>
              <w:rPr>
                <w:color w:val="000000"/>
              </w:rPr>
              <w:t>0.0%</w:t>
            </w:r>
          </w:p>
        </w:tc>
      </w:tr>
    </w:tbl>
    <w:p w14:paraId="40C12309" w14:textId="77777777" w:rsidR="00C94F45" w:rsidRDefault="00C94F45" w:rsidP="00E91A5A">
      <w:pPr>
        <w:jc w:val="both"/>
        <w:rPr>
          <w:color w:val="000000" w:themeColor="text1"/>
        </w:rPr>
      </w:pPr>
    </w:p>
    <w:tbl>
      <w:tblPr>
        <w:tblStyle w:val="TableGrid"/>
        <w:tblW w:w="0" w:type="auto"/>
        <w:tblLook w:val="04A0" w:firstRow="1" w:lastRow="0" w:firstColumn="1" w:lastColumn="0" w:noHBand="0" w:noVBand="1"/>
      </w:tblPr>
      <w:tblGrid>
        <w:gridCol w:w="4673"/>
        <w:gridCol w:w="1559"/>
        <w:gridCol w:w="1418"/>
        <w:gridCol w:w="1366"/>
      </w:tblGrid>
      <w:tr w:rsidR="00C94F45" w:rsidRPr="00EA7730" w14:paraId="6236392B" w14:textId="77777777" w:rsidTr="00AB0C7D">
        <w:trPr>
          <w:trHeight w:val="232"/>
        </w:trPr>
        <w:tc>
          <w:tcPr>
            <w:tcW w:w="4673" w:type="dxa"/>
            <w:noWrap/>
            <w:hideMark/>
          </w:tcPr>
          <w:p w14:paraId="4C69E0E4" w14:textId="77777777" w:rsidR="00C94F45" w:rsidRPr="00516F99" w:rsidRDefault="00C94F45" w:rsidP="00E91A5A">
            <w:pPr>
              <w:jc w:val="both"/>
              <w:rPr>
                <w:b/>
                <w:bCs/>
                <w:color w:val="000000" w:themeColor="text1"/>
              </w:rPr>
            </w:pPr>
            <w:r w:rsidRPr="00516F99">
              <w:rPr>
                <w:b/>
                <w:bCs/>
                <w:color w:val="000000" w:themeColor="text1"/>
              </w:rPr>
              <w:t>Number of bedrooms</w:t>
            </w:r>
          </w:p>
        </w:tc>
        <w:tc>
          <w:tcPr>
            <w:tcW w:w="1559" w:type="dxa"/>
            <w:noWrap/>
            <w:hideMark/>
          </w:tcPr>
          <w:p w14:paraId="14E575C1" w14:textId="77777777" w:rsidR="00C94F45" w:rsidRPr="00516F99" w:rsidRDefault="00C94F45" w:rsidP="00E91A5A">
            <w:pPr>
              <w:jc w:val="both"/>
              <w:rPr>
                <w:color w:val="000000" w:themeColor="text1"/>
              </w:rPr>
            </w:pPr>
            <w:r w:rsidRPr="00516F99">
              <w:rPr>
                <w:color w:val="000000" w:themeColor="text1"/>
              </w:rPr>
              <w:t>Sample</w:t>
            </w:r>
          </w:p>
        </w:tc>
        <w:tc>
          <w:tcPr>
            <w:tcW w:w="1418" w:type="dxa"/>
            <w:noWrap/>
            <w:hideMark/>
          </w:tcPr>
          <w:p w14:paraId="41E3284F" w14:textId="77777777" w:rsidR="00C94F45" w:rsidRPr="00516F99" w:rsidRDefault="00C94F45" w:rsidP="00E91A5A">
            <w:pPr>
              <w:jc w:val="both"/>
              <w:rPr>
                <w:color w:val="000000" w:themeColor="text1"/>
              </w:rPr>
            </w:pPr>
            <w:r w:rsidRPr="00516F99">
              <w:rPr>
                <w:color w:val="000000" w:themeColor="text1"/>
              </w:rPr>
              <w:t>Database</w:t>
            </w:r>
          </w:p>
        </w:tc>
        <w:tc>
          <w:tcPr>
            <w:tcW w:w="1366" w:type="dxa"/>
          </w:tcPr>
          <w:p w14:paraId="428E2535" w14:textId="77777777" w:rsidR="00C94F45" w:rsidRPr="00516F99" w:rsidRDefault="00C94F45" w:rsidP="00E91A5A">
            <w:pPr>
              <w:jc w:val="both"/>
              <w:rPr>
                <w:color w:val="000000" w:themeColor="text1"/>
              </w:rPr>
            </w:pPr>
            <w:r w:rsidRPr="00516F99">
              <w:rPr>
                <w:color w:val="000000" w:themeColor="text1"/>
              </w:rPr>
              <w:t>Difference</w:t>
            </w:r>
          </w:p>
        </w:tc>
      </w:tr>
      <w:tr w:rsidR="00C94F45" w:rsidRPr="00EA7730" w14:paraId="0671E5BF" w14:textId="77777777" w:rsidTr="00AB0C7D">
        <w:trPr>
          <w:trHeight w:val="232"/>
        </w:trPr>
        <w:tc>
          <w:tcPr>
            <w:tcW w:w="4673" w:type="dxa"/>
            <w:noWrap/>
            <w:vAlign w:val="center"/>
            <w:hideMark/>
          </w:tcPr>
          <w:p w14:paraId="553C1B6F" w14:textId="77777777" w:rsidR="00C94F45" w:rsidRPr="00516F99" w:rsidRDefault="00C94F45" w:rsidP="00E91A5A">
            <w:pPr>
              <w:jc w:val="both"/>
              <w:rPr>
                <w:color w:val="000000" w:themeColor="text1"/>
              </w:rPr>
            </w:pPr>
            <w:r>
              <w:rPr>
                <w:color w:val="000000" w:themeColor="text1"/>
              </w:rPr>
              <w:t>0</w:t>
            </w:r>
          </w:p>
        </w:tc>
        <w:tc>
          <w:tcPr>
            <w:tcW w:w="1559" w:type="dxa"/>
            <w:noWrap/>
            <w:vAlign w:val="bottom"/>
            <w:hideMark/>
          </w:tcPr>
          <w:p w14:paraId="7DF551FA" w14:textId="77777777" w:rsidR="00C94F45" w:rsidRPr="00516F99" w:rsidRDefault="00C94F45" w:rsidP="00E91A5A">
            <w:pPr>
              <w:jc w:val="both"/>
              <w:rPr>
                <w:color w:val="000000" w:themeColor="text1"/>
              </w:rPr>
            </w:pPr>
            <w:r>
              <w:rPr>
                <w:color w:val="000000"/>
              </w:rPr>
              <w:t>2.1%</w:t>
            </w:r>
          </w:p>
        </w:tc>
        <w:tc>
          <w:tcPr>
            <w:tcW w:w="1418" w:type="dxa"/>
            <w:noWrap/>
            <w:vAlign w:val="center"/>
            <w:hideMark/>
          </w:tcPr>
          <w:p w14:paraId="4756F029" w14:textId="77777777" w:rsidR="00C94F45" w:rsidRPr="00516F99" w:rsidRDefault="00C94F45" w:rsidP="00E91A5A">
            <w:pPr>
              <w:jc w:val="both"/>
              <w:rPr>
                <w:color w:val="000000" w:themeColor="text1"/>
              </w:rPr>
            </w:pPr>
            <w:r>
              <w:rPr>
                <w:color w:val="000000" w:themeColor="text1"/>
              </w:rPr>
              <w:t>1.6%</w:t>
            </w:r>
          </w:p>
        </w:tc>
        <w:tc>
          <w:tcPr>
            <w:tcW w:w="1366" w:type="dxa"/>
            <w:shd w:val="clear" w:color="auto" w:fill="DFDEDE" w:themeFill="text2" w:themeFillTint="33"/>
            <w:vAlign w:val="center"/>
          </w:tcPr>
          <w:p w14:paraId="6D4836F9" w14:textId="77777777" w:rsidR="00C94F45" w:rsidRPr="00516F99" w:rsidRDefault="00C94F45" w:rsidP="00E91A5A">
            <w:pPr>
              <w:jc w:val="both"/>
              <w:rPr>
                <w:color w:val="000000" w:themeColor="text1"/>
              </w:rPr>
            </w:pPr>
            <w:r>
              <w:t>0.5%</w:t>
            </w:r>
          </w:p>
        </w:tc>
      </w:tr>
      <w:tr w:rsidR="00C94F45" w:rsidRPr="00EA7730" w14:paraId="786EE998" w14:textId="77777777" w:rsidTr="00AB0C7D">
        <w:trPr>
          <w:trHeight w:val="232"/>
        </w:trPr>
        <w:tc>
          <w:tcPr>
            <w:tcW w:w="4673" w:type="dxa"/>
            <w:shd w:val="clear" w:color="auto" w:fill="auto"/>
            <w:noWrap/>
            <w:vAlign w:val="center"/>
            <w:hideMark/>
          </w:tcPr>
          <w:p w14:paraId="5A878A74" w14:textId="77777777" w:rsidR="00C94F45" w:rsidRPr="00516F99" w:rsidRDefault="00C94F45" w:rsidP="00E91A5A">
            <w:pPr>
              <w:jc w:val="both"/>
              <w:rPr>
                <w:color w:val="000000" w:themeColor="text1"/>
              </w:rPr>
            </w:pPr>
            <w:r>
              <w:rPr>
                <w:color w:val="000000" w:themeColor="text1"/>
              </w:rPr>
              <w:t>1</w:t>
            </w:r>
          </w:p>
        </w:tc>
        <w:tc>
          <w:tcPr>
            <w:tcW w:w="1559" w:type="dxa"/>
            <w:shd w:val="clear" w:color="auto" w:fill="auto"/>
            <w:noWrap/>
            <w:vAlign w:val="bottom"/>
            <w:hideMark/>
          </w:tcPr>
          <w:p w14:paraId="1CD77B94" w14:textId="77777777" w:rsidR="00C94F45" w:rsidRPr="00516F99" w:rsidRDefault="00C94F45" w:rsidP="00E91A5A">
            <w:pPr>
              <w:jc w:val="both"/>
              <w:rPr>
                <w:color w:val="000000" w:themeColor="text1"/>
              </w:rPr>
            </w:pPr>
            <w:r>
              <w:rPr>
                <w:color w:val="000000"/>
              </w:rPr>
              <w:t>36.6%</w:t>
            </w:r>
          </w:p>
        </w:tc>
        <w:tc>
          <w:tcPr>
            <w:tcW w:w="1418" w:type="dxa"/>
            <w:shd w:val="clear" w:color="auto" w:fill="auto"/>
            <w:noWrap/>
            <w:vAlign w:val="center"/>
            <w:hideMark/>
          </w:tcPr>
          <w:p w14:paraId="11ACA4C6" w14:textId="77777777" w:rsidR="00C94F45" w:rsidRPr="00516F99" w:rsidRDefault="00C94F45" w:rsidP="00E91A5A">
            <w:pPr>
              <w:jc w:val="both"/>
              <w:rPr>
                <w:color w:val="000000" w:themeColor="text1"/>
              </w:rPr>
            </w:pPr>
            <w:r>
              <w:rPr>
                <w:color w:val="000000" w:themeColor="text1"/>
              </w:rPr>
              <w:t>33.0%</w:t>
            </w:r>
          </w:p>
        </w:tc>
        <w:tc>
          <w:tcPr>
            <w:tcW w:w="1366" w:type="dxa"/>
            <w:shd w:val="clear" w:color="auto" w:fill="DFDEDE" w:themeFill="text2" w:themeFillTint="33"/>
            <w:vAlign w:val="center"/>
          </w:tcPr>
          <w:p w14:paraId="273A08C3" w14:textId="77777777" w:rsidR="00C94F45" w:rsidRPr="00516F99" w:rsidRDefault="00C94F45" w:rsidP="00E91A5A">
            <w:pPr>
              <w:jc w:val="both"/>
              <w:rPr>
                <w:color w:val="000000" w:themeColor="text1"/>
              </w:rPr>
            </w:pPr>
            <w:r>
              <w:rPr>
                <w:color w:val="000000"/>
              </w:rPr>
              <w:t>3.6%</w:t>
            </w:r>
          </w:p>
        </w:tc>
      </w:tr>
      <w:tr w:rsidR="00C94F45" w:rsidRPr="00EA7730" w14:paraId="77FAD9D3" w14:textId="77777777" w:rsidTr="00AB0C7D">
        <w:trPr>
          <w:trHeight w:val="232"/>
        </w:trPr>
        <w:tc>
          <w:tcPr>
            <w:tcW w:w="4673" w:type="dxa"/>
            <w:shd w:val="clear" w:color="auto" w:fill="auto"/>
            <w:noWrap/>
            <w:vAlign w:val="center"/>
            <w:hideMark/>
          </w:tcPr>
          <w:p w14:paraId="5204545E" w14:textId="77777777" w:rsidR="00C94F45" w:rsidRPr="00516F99" w:rsidRDefault="00C94F45" w:rsidP="00E91A5A">
            <w:pPr>
              <w:jc w:val="both"/>
              <w:rPr>
                <w:color w:val="000000" w:themeColor="text1"/>
              </w:rPr>
            </w:pPr>
            <w:r>
              <w:rPr>
                <w:color w:val="000000" w:themeColor="text1"/>
              </w:rPr>
              <w:t>2</w:t>
            </w:r>
          </w:p>
        </w:tc>
        <w:tc>
          <w:tcPr>
            <w:tcW w:w="1559" w:type="dxa"/>
            <w:shd w:val="clear" w:color="auto" w:fill="auto"/>
            <w:noWrap/>
            <w:vAlign w:val="bottom"/>
            <w:hideMark/>
          </w:tcPr>
          <w:p w14:paraId="0B258693" w14:textId="77777777" w:rsidR="00C94F45" w:rsidRPr="00516F99" w:rsidRDefault="00C94F45" w:rsidP="00E91A5A">
            <w:pPr>
              <w:jc w:val="both"/>
              <w:rPr>
                <w:color w:val="000000" w:themeColor="text1"/>
              </w:rPr>
            </w:pPr>
            <w:r>
              <w:rPr>
                <w:color w:val="000000"/>
              </w:rPr>
              <w:t>37.2%</w:t>
            </w:r>
          </w:p>
        </w:tc>
        <w:tc>
          <w:tcPr>
            <w:tcW w:w="1418" w:type="dxa"/>
            <w:shd w:val="clear" w:color="auto" w:fill="auto"/>
            <w:noWrap/>
            <w:vAlign w:val="center"/>
            <w:hideMark/>
          </w:tcPr>
          <w:p w14:paraId="39A86283" w14:textId="77777777" w:rsidR="00C94F45" w:rsidRPr="00516F99" w:rsidRDefault="00C94F45" w:rsidP="00E91A5A">
            <w:pPr>
              <w:jc w:val="both"/>
              <w:rPr>
                <w:color w:val="000000" w:themeColor="text1"/>
              </w:rPr>
            </w:pPr>
            <w:r>
              <w:rPr>
                <w:color w:val="000000" w:themeColor="text1"/>
              </w:rPr>
              <w:t>36.4%</w:t>
            </w:r>
          </w:p>
        </w:tc>
        <w:tc>
          <w:tcPr>
            <w:tcW w:w="1366" w:type="dxa"/>
            <w:shd w:val="clear" w:color="auto" w:fill="DFDEDE" w:themeFill="text2" w:themeFillTint="33"/>
            <w:vAlign w:val="center"/>
          </w:tcPr>
          <w:p w14:paraId="0BD7FC68" w14:textId="77777777" w:rsidR="00C94F45" w:rsidRPr="00516F99" w:rsidRDefault="00C94F45" w:rsidP="00E91A5A">
            <w:pPr>
              <w:jc w:val="both"/>
              <w:rPr>
                <w:color w:val="000000" w:themeColor="text1"/>
              </w:rPr>
            </w:pPr>
            <w:r>
              <w:rPr>
                <w:color w:val="000000"/>
              </w:rPr>
              <w:t>0.8%</w:t>
            </w:r>
          </w:p>
        </w:tc>
      </w:tr>
      <w:tr w:rsidR="00C94F45" w:rsidRPr="00EA7730" w14:paraId="0BFC867F" w14:textId="77777777" w:rsidTr="00AB0C7D">
        <w:trPr>
          <w:trHeight w:val="232"/>
        </w:trPr>
        <w:tc>
          <w:tcPr>
            <w:tcW w:w="4673" w:type="dxa"/>
            <w:shd w:val="clear" w:color="auto" w:fill="auto"/>
            <w:noWrap/>
            <w:vAlign w:val="center"/>
            <w:hideMark/>
          </w:tcPr>
          <w:p w14:paraId="6D836EC2" w14:textId="77777777" w:rsidR="00C94F45" w:rsidRPr="00516F99" w:rsidRDefault="00C94F45" w:rsidP="00E91A5A">
            <w:pPr>
              <w:jc w:val="both"/>
              <w:rPr>
                <w:color w:val="000000" w:themeColor="text1"/>
              </w:rPr>
            </w:pPr>
            <w:r>
              <w:rPr>
                <w:color w:val="000000" w:themeColor="text1"/>
              </w:rPr>
              <w:t>3</w:t>
            </w:r>
          </w:p>
        </w:tc>
        <w:tc>
          <w:tcPr>
            <w:tcW w:w="1559" w:type="dxa"/>
            <w:shd w:val="clear" w:color="auto" w:fill="auto"/>
            <w:noWrap/>
            <w:vAlign w:val="bottom"/>
            <w:hideMark/>
          </w:tcPr>
          <w:p w14:paraId="663CF319" w14:textId="77777777" w:rsidR="00C94F45" w:rsidRPr="00516F99" w:rsidRDefault="00C94F45" w:rsidP="00E91A5A">
            <w:pPr>
              <w:jc w:val="both"/>
              <w:rPr>
                <w:color w:val="000000" w:themeColor="text1"/>
              </w:rPr>
            </w:pPr>
            <w:r>
              <w:rPr>
                <w:color w:val="000000"/>
              </w:rPr>
              <w:t>21.4%</w:t>
            </w:r>
          </w:p>
        </w:tc>
        <w:tc>
          <w:tcPr>
            <w:tcW w:w="1418" w:type="dxa"/>
            <w:shd w:val="clear" w:color="auto" w:fill="auto"/>
            <w:noWrap/>
            <w:vAlign w:val="center"/>
            <w:hideMark/>
          </w:tcPr>
          <w:p w14:paraId="4B46F234" w14:textId="77777777" w:rsidR="00C94F45" w:rsidRPr="00516F99" w:rsidRDefault="00C94F45" w:rsidP="00E91A5A">
            <w:pPr>
              <w:jc w:val="both"/>
              <w:rPr>
                <w:color w:val="000000" w:themeColor="text1"/>
              </w:rPr>
            </w:pPr>
            <w:r>
              <w:rPr>
                <w:color w:val="000000" w:themeColor="text1"/>
              </w:rPr>
              <w:t>25.7%</w:t>
            </w:r>
          </w:p>
        </w:tc>
        <w:tc>
          <w:tcPr>
            <w:tcW w:w="1366" w:type="dxa"/>
            <w:shd w:val="clear" w:color="auto" w:fill="DFDEDE" w:themeFill="text2" w:themeFillTint="33"/>
            <w:vAlign w:val="center"/>
          </w:tcPr>
          <w:p w14:paraId="7BC692D9" w14:textId="77777777" w:rsidR="00C94F45" w:rsidRPr="00516F99" w:rsidRDefault="00C94F45" w:rsidP="00E91A5A">
            <w:pPr>
              <w:jc w:val="both"/>
              <w:rPr>
                <w:color w:val="000000" w:themeColor="text1"/>
              </w:rPr>
            </w:pPr>
            <w:r>
              <w:rPr>
                <w:color w:val="000000"/>
              </w:rPr>
              <w:t>-4.3%</w:t>
            </w:r>
          </w:p>
        </w:tc>
      </w:tr>
      <w:tr w:rsidR="00C94F45" w:rsidRPr="00EA7730" w14:paraId="396EE83E" w14:textId="77777777" w:rsidTr="00AB0C7D">
        <w:trPr>
          <w:trHeight w:val="232"/>
        </w:trPr>
        <w:tc>
          <w:tcPr>
            <w:tcW w:w="4673" w:type="dxa"/>
            <w:noWrap/>
            <w:vAlign w:val="center"/>
            <w:hideMark/>
          </w:tcPr>
          <w:p w14:paraId="71C06CC2" w14:textId="77777777" w:rsidR="00C94F45" w:rsidRPr="00516F99" w:rsidRDefault="00C94F45" w:rsidP="00E91A5A">
            <w:pPr>
              <w:jc w:val="both"/>
              <w:rPr>
                <w:color w:val="000000" w:themeColor="text1"/>
              </w:rPr>
            </w:pPr>
            <w:r>
              <w:rPr>
                <w:color w:val="000000" w:themeColor="text1"/>
              </w:rPr>
              <w:t>4</w:t>
            </w:r>
          </w:p>
        </w:tc>
        <w:tc>
          <w:tcPr>
            <w:tcW w:w="1559" w:type="dxa"/>
            <w:noWrap/>
            <w:vAlign w:val="bottom"/>
            <w:hideMark/>
          </w:tcPr>
          <w:p w14:paraId="7E193846" w14:textId="77777777" w:rsidR="00C94F45" w:rsidRPr="00516F99" w:rsidRDefault="00C94F45" w:rsidP="00E91A5A">
            <w:pPr>
              <w:jc w:val="both"/>
              <w:rPr>
                <w:color w:val="000000" w:themeColor="text1"/>
              </w:rPr>
            </w:pPr>
            <w:r>
              <w:rPr>
                <w:color w:val="000000"/>
              </w:rPr>
              <w:t>2.3%</w:t>
            </w:r>
          </w:p>
        </w:tc>
        <w:tc>
          <w:tcPr>
            <w:tcW w:w="1418" w:type="dxa"/>
            <w:noWrap/>
            <w:vAlign w:val="center"/>
            <w:hideMark/>
          </w:tcPr>
          <w:p w14:paraId="2890C18E" w14:textId="77777777" w:rsidR="00C94F45" w:rsidRPr="00516F99" w:rsidRDefault="00C94F45" w:rsidP="00E91A5A">
            <w:pPr>
              <w:jc w:val="both"/>
              <w:rPr>
                <w:color w:val="000000" w:themeColor="text1"/>
              </w:rPr>
            </w:pPr>
            <w:r>
              <w:rPr>
                <w:color w:val="000000" w:themeColor="text1"/>
              </w:rPr>
              <w:t>2.8%</w:t>
            </w:r>
          </w:p>
        </w:tc>
        <w:tc>
          <w:tcPr>
            <w:tcW w:w="1366" w:type="dxa"/>
            <w:shd w:val="clear" w:color="auto" w:fill="DFDEDE" w:themeFill="text2" w:themeFillTint="33"/>
            <w:vAlign w:val="center"/>
          </w:tcPr>
          <w:p w14:paraId="545E1C42" w14:textId="77777777" w:rsidR="00C94F45" w:rsidRPr="00516F99" w:rsidRDefault="00C94F45" w:rsidP="00E91A5A">
            <w:pPr>
              <w:jc w:val="both"/>
              <w:rPr>
                <w:color w:val="000000" w:themeColor="text1"/>
              </w:rPr>
            </w:pPr>
            <w:r>
              <w:rPr>
                <w:color w:val="000000"/>
              </w:rPr>
              <w:t>-0.5%</w:t>
            </w:r>
          </w:p>
        </w:tc>
      </w:tr>
      <w:tr w:rsidR="00C94F45" w:rsidRPr="00EA7730" w14:paraId="096A6A76" w14:textId="77777777" w:rsidTr="00AB0C7D">
        <w:trPr>
          <w:trHeight w:val="232"/>
        </w:trPr>
        <w:tc>
          <w:tcPr>
            <w:tcW w:w="4673" w:type="dxa"/>
            <w:noWrap/>
            <w:vAlign w:val="center"/>
            <w:hideMark/>
          </w:tcPr>
          <w:p w14:paraId="6ED06B50" w14:textId="77777777" w:rsidR="00C94F45" w:rsidRPr="00516F99" w:rsidRDefault="00C94F45" w:rsidP="00E91A5A">
            <w:pPr>
              <w:jc w:val="both"/>
              <w:rPr>
                <w:color w:val="000000" w:themeColor="text1"/>
              </w:rPr>
            </w:pPr>
            <w:r>
              <w:rPr>
                <w:color w:val="000000" w:themeColor="text1"/>
              </w:rPr>
              <w:t>5</w:t>
            </w:r>
          </w:p>
        </w:tc>
        <w:tc>
          <w:tcPr>
            <w:tcW w:w="1559" w:type="dxa"/>
            <w:noWrap/>
            <w:vAlign w:val="bottom"/>
            <w:hideMark/>
          </w:tcPr>
          <w:p w14:paraId="4CB1BF44" w14:textId="77777777" w:rsidR="00C94F45" w:rsidRPr="00516F99" w:rsidRDefault="00C94F45" w:rsidP="00E91A5A">
            <w:pPr>
              <w:jc w:val="both"/>
              <w:rPr>
                <w:color w:val="000000" w:themeColor="text1"/>
              </w:rPr>
            </w:pPr>
            <w:r>
              <w:rPr>
                <w:color w:val="000000"/>
              </w:rPr>
              <w:t>0.1%</w:t>
            </w:r>
          </w:p>
        </w:tc>
        <w:tc>
          <w:tcPr>
            <w:tcW w:w="1418" w:type="dxa"/>
            <w:noWrap/>
            <w:vAlign w:val="center"/>
            <w:hideMark/>
          </w:tcPr>
          <w:p w14:paraId="5A03806C" w14:textId="77777777" w:rsidR="00C94F45" w:rsidRPr="00516F99" w:rsidRDefault="00C94F45" w:rsidP="00E91A5A">
            <w:pPr>
              <w:jc w:val="both"/>
              <w:rPr>
                <w:color w:val="000000" w:themeColor="text1"/>
              </w:rPr>
            </w:pPr>
            <w:r>
              <w:rPr>
                <w:color w:val="000000" w:themeColor="text1"/>
              </w:rPr>
              <w:t>0.1%</w:t>
            </w:r>
          </w:p>
        </w:tc>
        <w:tc>
          <w:tcPr>
            <w:tcW w:w="1366" w:type="dxa"/>
            <w:shd w:val="clear" w:color="auto" w:fill="DFDEDE" w:themeFill="text2" w:themeFillTint="33"/>
            <w:vAlign w:val="center"/>
          </w:tcPr>
          <w:p w14:paraId="53629E94" w14:textId="77777777" w:rsidR="00C94F45" w:rsidRPr="00516F99" w:rsidRDefault="00C94F45" w:rsidP="00E91A5A">
            <w:pPr>
              <w:jc w:val="both"/>
              <w:rPr>
                <w:color w:val="000000" w:themeColor="text1"/>
              </w:rPr>
            </w:pPr>
            <w:r>
              <w:rPr>
                <w:color w:val="000000"/>
              </w:rPr>
              <w:t>0.0%</w:t>
            </w:r>
          </w:p>
        </w:tc>
      </w:tr>
      <w:tr w:rsidR="00C94F45" w:rsidRPr="00EA7730" w14:paraId="36F4476E" w14:textId="77777777" w:rsidTr="00AB0C7D">
        <w:trPr>
          <w:trHeight w:val="232"/>
        </w:trPr>
        <w:tc>
          <w:tcPr>
            <w:tcW w:w="4673" w:type="dxa"/>
            <w:noWrap/>
            <w:vAlign w:val="center"/>
            <w:hideMark/>
          </w:tcPr>
          <w:p w14:paraId="5282EA69" w14:textId="77777777" w:rsidR="00C94F45" w:rsidRPr="00516F99" w:rsidRDefault="00C94F45" w:rsidP="00E91A5A">
            <w:pPr>
              <w:jc w:val="both"/>
              <w:rPr>
                <w:color w:val="000000" w:themeColor="text1"/>
              </w:rPr>
            </w:pPr>
            <w:r>
              <w:rPr>
                <w:color w:val="000000" w:themeColor="text1"/>
              </w:rPr>
              <w:t>6</w:t>
            </w:r>
          </w:p>
        </w:tc>
        <w:tc>
          <w:tcPr>
            <w:tcW w:w="1559" w:type="dxa"/>
            <w:noWrap/>
            <w:vAlign w:val="center"/>
            <w:hideMark/>
          </w:tcPr>
          <w:p w14:paraId="0367AB2B" w14:textId="77777777" w:rsidR="00C94F45" w:rsidRPr="00516F99" w:rsidRDefault="00C94F45" w:rsidP="00E91A5A">
            <w:pPr>
              <w:jc w:val="both"/>
              <w:rPr>
                <w:color w:val="000000" w:themeColor="text1"/>
              </w:rPr>
            </w:pPr>
            <w:r>
              <w:rPr>
                <w:color w:val="000000"/>
              </w:rPr>
              <w:t>0.0%</w:t>
            </w:r>
          </w:p>
        </w:tc>
        <w:tc>
          <w:tcPr>
            <w:tcW w:w="1418" w:type="dxa"/>
            <w:noWrap/>
            <w:vAlign w:val="center"/>
            <w:hideMark/>
          </w:tcPr>
          <w:p w14:paraId="3B1E4F1D" w14:textId="77777777" w:rsidR="00C94F45" w:rsidRPr="00516F99" w:rsidRDefault="00C94F45" w:rsidP="00E91A5A">
            <w:pPr>
              <w:jc w:val="both"/>
              <w:rPr>
                <w:color w:val="000000" w:themeColor="text1"/>
              </w:rPr>
            </w:pPr>
            <w:r>
              <w:rPr>
                <w:color w:val="000000" w:themeColor="text1"/>
              </w:rPr>
              <w:t>0.0%</w:t>
            </w:r>
          </w:p>
        </w:tc>
        <w:tc>
          <w:tcPr>
            <w:tcW w:w="1366" w:type="dxa"/>
            <w:shd w:val="clear" w:color="auto" w:fill="DFDEDE" w:themeFill="text2" w:themeFillTint="33"/>
            <w:vAlign w:val="center"/>
          </w:tcPr>
          <w:p w14:paraId="14CDD1BF" w14:textId="77777777" w:rsidR="00C94F45" w:rsidRPr="00516F99" w:rsidRDefault="00C94F45" w:rsidP="00E91A5A">
            <w:pPr>
              <w:jc w:val="both"/>
              <w:rPr>
                <w:color w:val="000000" w:themeColor="text1"/>
              </w:rPr>
            </w:pPr>
            <w:r>
              <w:rPr>
                <w:color w:val="000000"/>
              </w:rPr>
              <w:t>0.0%</w:t>
            </w:r>
          </w:p>
        </w:tc>
      </w:tr>
      <w:tr w:rsidR="00C94F45" w:rsidRPr="00EA7730" w14:paraId="31EFC627" w14:textId="77777777" w:rsidTr="00AB0C7D">
        <w:trPr>
          <w:trHeight w:val="232"/>
        </w:trPr>
        <w:tc>
          <w:tcPr>
            <w:tcW w:w="4673" w:type="dxa"/>
            <w:noWrap/>
            <w:vAlign w:val="center"/>
            <w:hideMark/>
          </w:tcPr>
          <w:p w14:paraId="546525E5" w14:textId="77777777" w:rsidR="00C94F45" w:rsidRPr="00516F99" w:rsidRDefault="00C94F45" w:rsidP="00E91A5A">
            <w:pPr>
              <w:jc w:val="both"/>
              <w:rPr>
                <w:color w:val="000000" w:themeColor="text1"/>
              </w:rPr>
            </w:pPr>
            <w:r>
              <w:rPr>
                <w:color w:val="000000" w:themeColor="text1"/>
              </w:rPr>
              <w:t xml:space="preserve">Unknown </w:t>
            </w:r>
          </w:p>
        </w:tc>
        <w:tc>
          <w:tcPr>
            <w:tcW w:w="1559" w:type="dxa"/>
            <w:noWrap/>
            <w:vAlign w:val="bottom"/>
            <w:hideMark/>
          </w:tcPr>
          <w:p w14:paraId="476BA15A" w14:textId="77777777" w:rsidR="00C94F45" w:rsidRPr="00516F99" w:rsidRDefault="00C94F45" w:rsidP="00E91A5A">
            <w:pPr>
              <w:jc w:val="both"/>
              <w:rPr>
                <w:color w:val="000000" w:themeColor="text1"/>
              </w:rPr>
            </w:pPr>
            <w:r>
              <w:rPr>
                <w:color w:val="000000"/>
              </w:rPr>
              <w:t>0.3%</w:t>
            </w:r>
          </w:p>
        </w:tc>
        <w:tc>
          <w:tcPr>
            <w:tcW w:w="1418" w:type="dxa"/>
            <w:noWrap/>
            <w:vAlign w:val="center"/>
            <w:hideMark/>
          </w:tcPr>
          <w:p w14:paraId="0719C766" w14:textId="77777777" w:rsidR="00C94F45" w:rsidRPr="00516F99" w:rsidRDefault="00C94F45" w:rsidP="00E91A5A">
            <w:pPr>
              <w:jc w:val="both"/>
              <w:rPr>
                <w:color w:val="000000" w:themeColor="text1"/>
              </w:rPr>
            </w:pPr>
            <w:r>
              <w:rPr>
                <w:color w:val="000000" w:themeColor="text1"/>
              </w:rPr>
              <w:t>0.4%</w:t>
            </w:r>
          </w:p>
        </w:tc>
        <w:tc>
          <w:tcPr>
            <w:tcW w:w="1366" w:type="dxa"/>
            <w:shd w:val="clear" w:color="auto" w:fill="DFDEDE" w:themeFill="text2" w:themeFillTint="33"/>
            <w:vAlign w:val="center"/>
          </w:tcPr>
          <w:p w14:paraId="03035565" w14:textId="77777777" w:rsidR="00C94F45" w:rsidRPr="00516F99" w:rsidRDefault="00C94F45" w:rsidP="00E91A5A">
            <w:pPr>
              <w:jc w:val="both"/>
              <w:rPr>
                <w:color w:val="000000" w:themeColor="text1"/>
              </w:rPr>
            </w:pPr>
            <w:r>
              <w:rPr>
                <w:color w:val="000000"/>
              </w:rPr>
              <w:t>-0.1%</w:t>
            </w:r>
          </w:p>
        </w:tc>
      </w:tr>
    </w:tbl>
    <w:p w14:paraId="4C6AFC44" w14:textId="77777777" w:rsidR="009E112C" w:rsidRDefault="009E112C" w:rsidP="00E91A5A">
      <w:pPr>
        <w:jc w:val="both"/>
      </w:pPr>
    </w:p>
    <w:p w14:paraId="517FC3A3" w14:textId="2D811763" w:rsidR="009E112C" w:rsidRDefault="009E112C" w:rsidP="00E91A5A">
      <w:pPr>
        <w:jc w:val="both"/>
      </w:pPr>
      <w:r>
        <w:t>Customers from 7 stepdown properties were excluded from the perception survey, due to the short term, transitory nature of the property tenure. Customers in Stepdown properties use the units after leaving hospital before returning home and have minimal interaction with Curo as a landlord, so it was thought that surveying them would not be appropriate in such circumstances.</w:t>
      </w:r>
    </w:p>
    <w:p w14:paraId="2F61AEE8" w14:textId="77777777" w:rsidR="009E112C" w:rsidRDefault="009E112C" w:rsidP="00E91A5A">
      <w:pPr>
        <w:jc w:val="both"/>
      </w:pPr>
    </w:p>
    <w:p w14:paraId="1C4993DE" w14:textId="20255F5F" w:rsidR="0034024B" w:rsidRPr="00102C50" w:rsidRDefault="009E112C" w:rsidP="00E91A5A">
      <w:pPr>
        <w:jc w:val="both"/>
        <w:rPr>
          <w:b/>
          <w:bCs/>
        </w:rPr>
      </w:pPr>
      <w:proofErr w:type="gramStart"/>
      <w:r>
        <w:rPr>
          <w:b/>
          <w:bCs/>
        </w:rPr>
        <w:t>Low Cost</w:t>
      </w:r>
      <w:proofErr w:type="gramEnd"/>
      <w:r>
        <w:rPr>
          <w:b/>
          <w:bCs/>
        </w:rPr>
        <w:t xml:space="preserve"> Home Ownership </w:t>
      </w:r>
      <w:r w:rsidR="00E91A5A">
        <w:rPr>
          <w:b/>
          <w:bCs/>
        </w:rPr>
        <w:t xml:space="preserve">(LCHO) </w:t>
      </w:r>
      <w:r>
        <w:rPr>
          <w:b/>
          <w:bCs/>
        </w:rPr>
        <w:t>Survey</w:t>
      </w:r>
    </w:p>
    <w:p w14:paraId="3BECC7F9" w14:textId="77777777" w:rsidR="00964F24" w:rsidRPr="00102C50" w:rsidRDefault="00964F24" w:rsidP="00E91A5A">
      <w:pPr>
        <w:jc w:val="both"/>
      </w:pPr>
    </w:p>
    <w:p w14:paraId="487C1D06" w14:textId="7845F98D" w:rsidR="00A97D5D" w:rsidRPr="00102C50" w:rsidRDefault="00A97D5D" w:rsidP="00E91A5A">
      <w:pPr>
        <w:jc w:val="both"/>
      </w:pPr>
      <w:r w:rsidRPr="00102C50">
        <w:t>Most surveys were completed on the telephone (135/203 – 66.5%) with a further 67/203 (33%) conducted online. 1/203 (0.5%) was completed by post.</w:t>
      </w:r>
    </w:p>
    <w:p w14:paraId="26E0FC92" w14:textId="77777777" w:rsidR="00A97D5D" w:rsidRPr="00102C50" w:rsidRDefault="00A97D5D" w:rsidP="00E91A5A">
      <w:pPr>
        <w:jc w:val="both"/>
      </w:pPr>
    </w:p>
    <w:p w14:paraId="4304BA6B" w14:textId="5C72457F" w:rsidR="00964F24" w:rsidRDefault="00964F24" w:rsidP="00E91A5A">
      <w:pPr>
        <w:jc w:val="both"/>
      </w:pPr>
      <w:r>
        <w:t xml:space="preserve">A census approach was taken due to Curo’s LCHO customer base falling below the 1,000 </w:t>
      </w:r>
      <w:proofErr w:type="gramStart"/>
      <w:r>
        <w:t>threshold</w:t>
      </w:r>
      <w:proofErr w:type="gramEnd"/>
      <w:r>
        <w:t>. Each customer had the opportunity to take part via at least two different collection methods, thus showing reasonable effort to collect survey results. 42.4% of customers chose to remain anonymous.</w:t>
      </w:r>
    </w:p>
    <w:p w14:paraId="013967CD" w14:textId="77777777" w:rsidR="0034024B" w:rsidRDefault="0034024B" w:rsidP="00E91A5A">
      <w:pPr>
        <w:jc w:val="both"/>
      </w:pPr>
    </w:p>
    <w:p w14:paraId="00BCDFB3" w14:textId="2C4F3D72" w:rsidR="00964F24" w:rsidRDefault="00964F24" w:rsidP="00E91A5A">
      <w:pPr>
        <w:jc w:val="both"/>
      </w:pPr>
      <w:r>
        <w:t>As of the end of fieldwork, statistical accuracy of LCHO responses was ±6.9% against a target of ±5%.</w:t>
      </w:r>
    </w:p>
    <w:p w14:paraId="0A5545F5" w14:textId="77777777" w:rsidR="00C94F45" w:rsidRDefault="00C94F45" w:rsidP="00E91A5A">
      <w:pPr>
        <w:jc w:val="both"/>
      </w:pPr>
    </w:p>
    <w:p w14:paraId="1B139890" w14:textId="77777777" w:rsidR="00C94F45" w:rsidRDefault="00C94F45" w:rsidP="00E91A5A">
      <w:pPr>
        <w:jc w:val="both"/>
      </w:pPr>
      <w:r>
        <w:t>A breakdown of sample vs database can be found below:</w:t>
      </w:r>
    </w:p>
    <w:p w14:paraId="6AAFC41C" w14:textId="77777777" w:rsidR="00C94F45" w:rsidRPr="00C94F45" w:rsidRDefault="00C94F45" w:rsidP="00E91A5A">
      <w:pPr>
        <w:pStyle w:val="Heading4"/>
        <w:jc w:val="both"/>
        <w:rPr>
          <w:i w:val="0"/>
          <w:iCs w:val="0"/>
          <w:u w:val="single"/>
        </w:rPr>
      </w:pPr>
      <w:r w:rsidRPr="00C94F45">
        <w:rPr>
          <w:i w:val="0"/>
          <w:iCs w:val="0"/>
          <w:u w:val="single"/>
        </w:rPr>
        <w:t>Representativeness</w:t>
      </w:r>
    </w:p>
    <w:p w14:paraId="5985E1C0" w14:textId="77777777" w:rsidR="00C94F45" w:rsidRDefault="00C94F45" w:rsidP="00E91A5A">
      <w:pPr>
        <w:jc w:val="both"/>
      </w:pPr>
    </w:p>
    <w:tbl>
      <w:tblPr>
        <w:tblStyle w:val="TableGrid"/>
        <w:tblW w:w="9209" w:type="dxa"/>
        <w:tblLook w:val="04A0" w:firstRow="1" w:lastRow="0" w:firstColumn="1" w:lastColumn="0" w:noHBand="0" w:noVBand="1"/>
      </w:tblPr>
      <w:tblGrid>
        <w:gridCol w:w="4889"/>
        <w:gridCol w:w="1400"/>
        <w:gridCol w:w="1401"/>
        <w:gridCol w:w="1519"/>
      </w:tblGrid>
      <w:tr w:rsidR="00C94F45" w:rsidRPr="006D00D9" w14:paraId="7416594C" w14:textId="77777777" w:rsidTr="00C94F45">
        <w:trPr>
          <w:trHeight w:val="272"/>
        </w:trPr>
        <w:tc>
          <w:tcPr>
            <w:tcW w:w="4889" w:type="dxa"/>
            <w:noWrap/>
            <w:hideMark/>
          </w:tcPr>
          <w:p w14:paraId="00325C38" w14:textId="77777777" w:rsidR="00C94F45" w:rsidRPr="006D00D9" w:rsidRDefault="00C94F45" w:rsidP="00E91A5A">
            <w:pPr>
              <w:jc w:val="both"/>
              <w:rPr>
                <w:b/>
                <w:bCs/>
              </w:rPr>
            </w:pPr>
            <w:r w:rsidRPr="006D00D9">
              <w:rPr>
                <w:b/>
                <w:bCs/>
              </w:rPr>
              <w:t>Age</w:t>
            </w:r>
          </w:p>
        </w:tc>
        <w:tc>
          <w:tcPr>
            <w:tcW w:w="1400" w:type="dxa"/>
            <w:noWrap/>
            <w:hideMark/>
          </w:tcPr>
          <w:p w14:paraId="27087F2D" w14:textId="77777777" w:rsidR="00C94F45" w:rsidRPr="006D00D9" w:rsidRDefault="00C94F45" w:rsidP="00E91A5A">
            <w:pPr>
              <w:jc w:val="both"/>
            </w:pPr>
            <w:r w:rsidRPr="006D00D9">
              <w:t>Sample</w:t>
            </w:r>
          </w:p>
        </w:tc>
        <w:tc>
          <w:tcPr>
            <w:tcW w:w="1401" w:type="dxa"/>
            <w:noWrap/>
            <w:hideMark/>
          </w:tcPr>
          <w:p w14:paraId="0C03A8FC" w14:textId="77777777" w:rsidR="00C94F45" w:rsidRPr="006D00D9" w:rsidRDefault="00C94F45" w:rsidP="00E91A5A">
            <w:pPr>
              <w:jc w:val="both"/>
            </w:pPr>
            <w:r w:rsidRPr="006D00D9">
              <w:t>Database</w:t>
            </w:r>
          </w:p>
        </w:tc>
        <w:tc>
          <w:tcPr>
            <w:tcW w:w="1519" w:type="dxa"/>
          </w:tcPr>
          <w:p w14:paraId="03767FED" w14:textId="77777777" w:rsidR="00C94F45" w:rsidRPr="006D00D9" w:rsidRDefault="00C94F45" w:rsidP="00E91A5A">
            <w:pPr>
              <w:jc w:val="both"/>
            </w:pPr>
            <w:r>
              <w:t>Difference</w:t>
            </w:r>
          </w:p>
        </w:tc>
      </w:tr>
      <w:tr w:rsidR="00C94F45" w:rsidRPr="006D00D9" w14:paraId="57FDA1E3" w14:textId="77777777" w:rsidTr="00C94F45">
        <w:trPr>
          <w:trHeight w:val="272"/>
        </w:trPr>
        <w:tc>
          <w:tcPr>
            <w:tcW w:w="4889" w:type="dxa"/>
            <w:noWrap/>
            <w:hideMark/>
          </w:tcPr>
          <w:p w14:paraId="186CAD47" w14:textId="77777777" w:rsidR="00C94F45" w:rsidRPr="006D00D9" w:rsidRDefault="00C94F45" w:rsidP="00E91A5A">
            <w:pPr>
              <w:jc w:val="both"/>
            </w:pPr>
            <w:r w:rsidRPr="006D00D9">
              <w:t xml:space="preserve">16-24 </w:t>
            </w:r>
          </w:p>
        </w:tc>
        <w:tc>
          <w:tcPr>
            <w:tcW w:w="1400" w:type="dxa"/>
            <w:noWrap/>
            <w:vAlign w:val="bottom"/>
            <w:hideMark/>
          </w:tcPr>
          <w:p w14:paraId="1C40293A" w14:textId="77777777" w:rsidR="00C94F45" w:rsidRPr="00E85875" w:rsidRDefault="00C94F45" w:rsidP="00E91A5A">
            <w:pPr>
              <w:jc w:val="both"/>
              <w:rPr>
                <w:color w:val="000000"/>
              </w:rPr>
            </w:pPr>
            <w:r>
              <w:rPr>
                <w:color w:val="000000"/>
              </w:rPr>
              <w:t>4.0%</w:t>
            </w:r>
          </w:p>
        </w:tc>
        <w:tc>
          <w:tcPr>
            <w:tcW w:w="1401" w:type="dxa"/>
            <w:noWrap/>
            <w:vAlign w:val="center"/>
            <w:hideMark/>
          </w:tcPr>
          <w:p w14:paraId="647A64E5" w14:textId="77777777" w:rsidR="00C94F45" w:rsidRPr="006D00D9" w:rsidRDefault="00C94F45" w:rsidP="00E91A5A">
            <w:pPr>
              <w:jc w:val="both"/>
            </w:pPr>
            <w:r>
              <w:rPr>
                <w:color w:val="000000"/>
              </w:rPr>
              <w:t>4.3%</w:t>
            </w:r>
          </w:p>
        </w:tc>
        <w:tc>
          <w:tcPr>
            <w:tcW w:w="1519" w:type="dxa"/>
            <w:shd w:val="clear" w:color="auto" w:fill="DFDEDE" w:themeFill="text2" w:themeFillTint="33"/>
            <w:vAlign w:val="center"/>
          </w:tcPr>
          <w:p w14:paraId="467D8254" w14:textId="77777777" w:rsidR="00C94F45" w:rsidRPr="006D00D9" w:rsidRDefault="00C94F45" w:rsidP="00E91A5A">
            <w:pPr>
              <w:jc w:val="both"/>
            </w:pPr>
            <w:r>
              <w:rPr>
                <w:color w:val="000000"/>
              </w:rPr>
              <w:t>-0.3%</w:t>
            </w:r>
          </w:p>
        </w:tc>
      </w:tr>
      <w:tr w:rsidR="00C94F45" w:rsidRPr="006D00D9" w14:paraId="0C03F6FA" w14:textId="77777777" w:rsidTr="00C94F45">
        <w:trPr>
          <w:trHeight w:val="272"/>
        </w:trPr>
        <w:tc>
          <w:tcPr>
            <w:tcW w:w="4889" w:type="dxa"/>
            <w:noWrap/>
            <w:hideMark/>
          </w:tcPr>
          <w:p w14:paraId="38386558" w14:textId="77777777" w:rsidR="00C94F45" w:rsidRPr="006D00D9" w:rsidRDefault="00C94F45" w:rsidP="00E91A5A">
            <w:pPr>
              <w:jc w:val="both"/>
            </w:pPr>
            <w:r w:rsidRPr="006D00D9">
              <w:t xml:space="preserve">25-34 </w:t>
            </w:r>
          </w:p>
        </w:tc>
        <w:tc>
          <w:tcPr>
            <w:tcW w:w="1400" w:type="dxa"/>
            <w:noWrap/>
            <w:vAlign w:val="bottom"/>
            <w:hideMark/>
          </w:tcPr>
          <w:p w14:paraId="6694BFAD" w14:textId="77777777" w:rsidR="00C94F45" w:rsidRPr="00E85875" w:rsidRDefault="00C94F45" w:rsidP="00E91A5A">
            <w:pPr>
              <w:jc w:val="both"/>
              <w:rPr>
                <w:color w:val="000000"/>
              </w:rPr>
            </w:pPr>
            <w:r>
              <w:rPr>
                <w:color w:val="000000"/>
              </w:rPr>
              <w:t>31.2%</w:t>
            </w:r>
          </w:p>
        </w:tc>
        <w:tc>
          <w:tcPr>
            <w:tcW w:w="1401" w:type="dxa"/>
            <w:noWrap/>
            <w:vAlign w:val="center"/>
            <w:hideMark/>
          </w:tcPr>
          <w:p w14:paraId="738A4076" w14:textId="77777777" w:rsidR="00C94F45" w:rsidRPr="006D00D9" w:rsidRDefault="00C94F45" w:rsidP="00E91A5A">
            <w:pPr>
              <w:jc w:val="both"/>
            </w:pPr>
            <w:r>
              <w:rPr>
                <w:color w:val="000000"/>
              </w:rPr>
              <w:t>29.4%</w:t>
            </w:r>
          </w:p>
        </w:tc>
        <w:tc>
          <w:tcPr>
            <w:tcW w:w="1519" w:type="dxa"/>
            <w:shd w:val="clear" w:color="auto" w:fill="DFDEDE" w:themeFill="text2" w:themeFillTint="33"/>
            <w:vAlign w:val="center"/>
          </w:tcPr>
          <w:p w14:paraId="19D7EF4C" w14:textId="77777777" w:rsidR="00C94F45" w:rsidRPr="006D00D9" w:rsidRDefault="00C94F45" w:rsidP="00E91A5A">
            <w:pPr>
              <w:jc w:val="both"/>
            </w:pPr>
            <w:r>
              <w:rPr>
                <w:color w:val="000000"/>
              </w:rPr>
              <w:t>1.8%</w:t>
            </w:r>
          </w:p>
        </w:tc>
      </w:tr>
      <w:tr w:rsidR="00C94F45" w:rsidRPr="006D00D9" w14:paraId="328CC748" w14:textId="77777777" w:rsidTr="00C94F45">
        <w:trPr>
          <w:trHeight w:val="272"/>
        </w:trPr>
        <w:tc>
          <w:tcPr>
            <w:tcW w:w="4889" w:type="dxa"/>
            <w:noWrap/>
            <w:hideMark/>
          </w:tcPr>
          <w:p w14:paraId="0F26896C" w14:textId="77777777" w:rsidR="00C94F45" w:rsidRPr="006D00D9" w:rsidRDefault="00C94F45" w:rsidP="00E91A5A">
            <w:pPr>
              <w:jc w:val="both"/>
            </w:pPr>
            <w:r w:rsidRPr="006D00D9">
              <w:t xml:space="preserve">35-44 </w:t>
            </w:r>
          </w:p>
        </w:tc>
        <w:tc>
          <w:tcPr>
            <w:tcW w:w="1400" w:type="dxa"/>
            <w:noWrap/>
            <w:vAlign w:val="bottom"/>
            <w:hideMark/>
          </w:tcPr>
          <w:p w14:paraId="5472BB57" w14:textId="77777777" w:rsidR="00C94F45" w:rsidRPr="00E85875" w:rsidRDefault="00C94F45" w:rsidP="00E91A5A">
            <w:pPr>
              <w:jc w:val="both"/>
              <w:rPr>
                <w:color w:val="000000"/>
              </w:rPr>
            </w:pPr>
            <w:r>
              <w:rPr>
                <w:color w:val="000000"/>
              </w:rPr>
              <w:t>23.3%</w:t>
            </w:r>
          </w:p>
        </w:tc>
        <w:tc>
          <w:tcPr>
            <w:tcW w:w="1401" w:type="dxa"/>
            <w:noWrap/>
            <w:vAlign w:val="center"/>
            <w:hideMark/>
          </w:tcPr>
          <w:p w14:paraId="5089E0E8" w14:textId="77777777" w:rsidR="00C94F45" w:rsidRPr="006D00D9" w:rsidRDefault="00C94F45" w:rsidP="00E91A5A">
            <w:pPr>
              <w:jc w:val="both"/>
            </w:pPr>
            <w:r>
              <w:rPr>
                <w:color w:val="000000"/>
              </w:rPr>
              <w:t>27.3%</w:t>
            </w:r>
          </w:p>
        </w:tc>
        <w:tc>
          <w:tcPr>
            <w:tcW w:w="1519" w:type="dxa"/>
            <w:shd w:val="clear" w:color="auto" w:fill="DFDEDE" w:themeFill="text2" w:themeFillTint="33"/>
            <w:vAlign w:val="center"/>
          </w:tcPr>
          <w:p w14:paraId="5485F820" w14:textId="77777777" w:rsidR="00C94F45" w:rsidRPr="006D00D9" w:rsidRDefault="00C94F45" w:rsidP="00E91A5A">
            <w:pPr>
              <w:jc w:val="both"/>
            </w:pPr>
            <w:r>
              <w:rPr>
                <w:color w:val="000000"/>
              </w:rPr>
              <w:t>-4.0%</w:t>
            </w:r>
          </w:p>
        </w:tc>
      </w:tr>
      <w:tr w:rsidR="00C94F45" w:rsidRPr="006D00D9" w14:paraId="0F00FCEB" w14:textId="77777777" w:rsidTr="00C94F45">
        <w:trPr>
          <w:trHeight w:val="272"/>
        </w:trPr>
        <w:tc>
          <w:tcPr>
            <w:tcW w:w="4889" w:type="dxa"/>
            <w:noWrap/>
            <w:hideMark/>
          </w:tcPr>
          <w:p w14:paraId="5DC5DEF6" w14:textId="77777777" w:rsidR="00C94F45" w:rsidRPr="006D00D9" w:rsidRDefault="00C94F45" w:rsidP="00E91A5A">
            <w:pPr>
              <w:jc w:val="both"/>
            </w:pPr>
            <w:r w:rsidRPr="006D00D9">
              <w:t xml:space="preserve">45-54 </w:t>
            </w:r>
          </w:p>
        </w:tc>
        <w:tc>
          <w:tcPr>
            <w:tcW w:w="1400" w:type="dxa"/>
            <w:noWrap/>
            <w:vAlign w:val="bottom"/>
            <w:hideMark/>
          </w:tcPr>
          <w:p w14:paraId="0B0759FD" w14:textId="77777777" w:rsidR="00C94F45" w:rsidRPr="00E85875" w:rsidRDefault="00C94F45" w:rsidP="00E91A5A">
            <w:pPr>
              <w:jc w:val="both"/>
              <w:rPr>
                <w:color w:val="000000"/>
              </w:rPr>
            </w:pPr>
            <w:r>
              <w:rPr>
                <w:color w:val="000000"/>
              </w:rPr>
              <w:t>13.9%</w:t>
            </w:r>
          </w:p>
        </w:tc>
        <w:tc>
          <w:tcPr>
            <w:tcW w:w="1401" w:type="dxa"/>
            <w:noWrap/>
            <w:vAlign w:val="center"/>
            <w:hideMark/>
          </w:tcPr>
          <w:p w14:paraId="3413F17D" w14:textId="77777777" w:rsidR="00C94F45" w:rsidRPr="006D00D9" w:rsidRDefault="00C94F45" w:rsidP="00E91A5A">
            <w:pPr>
              <w:jc w:val="both"/>
            </w:pPr>
            <w:r>
              <w:rPr>
                <w:color w:val="000000"/>
              </w:rPr>
              <w:t>14.4%</w:t>
            </w:r>
          </w:p>
        </w:tc>
        <w:tc>
          <w:tcPr>
            <w:tcW w:w="1519" w:type="dxa"/>
            <w:shd w:val="clear" w:color="auto" w:fill="DFDEDE" w:themeFill="text2" w:themeFillTint="33"/>
            <w:vAlign w:val="center"/>
          </w:tcPr>
          <w:p w14:paraId="7C24132F" w14:textId="77777777" w:rsidR="00C94F45" w:rsidRPr="006D00D9" w:rsidRDefault="00C94F45" w:rsidP="00E91A5A">
            <w:pPr>
              <w:jc w:val="both"/>
            </w:pPr>
            <w:r>
              <w:rPr>
                <w:color w:val="000000"/>
              </w:rPr>
              <w:t>-0.5%</w:t>
            </w:r>
          </w:p>
        </w:tc>
      </w:tr>
      <w:tr w:rsidR="00C94F45" w:rsidRPr="006D00D9" w14:paraId="55C458D1" w14:textId="77777777" w:rsidTr="00C94F45">
        <w:trPr>
          <w:trHeight w:val="272"/>
        </w:trPr>
        <w:tc>
          <w:tcPr>
            <w:tcW w:w="4889" w:type="dxa"/>
            <w:noWrap/>
            <w:hideMark/>
          </w:tcPr>
          <w:p w14:paraId="33F38D2D" w14:textId="77777777" w:rsidR="00C94F45" w:rsidRPr="006D00D9" w:rsidRDefault="00C94F45" w:rsidP="00E91A5A">
            <w:pPr>
              <w:jc w:val="both"/>
            </w:pPr>
            <w:r w:rsidRPr="006D00D9">
              <w:t xml:space="preserve">55-64 </w:t>
            </w:r>
          </w:p>
        </w:tc>
        <w:tc>
          <w:tcPr>
            <w:tcW w:w="1400" w:type="dxa"/>
            <w:noWrap/>
            <w:vAlign w:val="bottom"/>
            <w:hideMark/>
          </w:tcPr>
          <w:p w14:paraId="217BCDF8" w14:textId="77777777" w:rsidR="00C94F45" w:rsidRPr="00E85875" w:rsidRDefault="00C94F45" w:rsidP="00E91A5A">
            <w:pPr>
              <w:jc w:val="both"/>
              <w:rPr>
                <w:color w:val="000000"/>
              </w:rPr>
            </w:pPr>
            <w:r>
              <w:rPr>
                <w:color w:val="000000"/>
              </w:rPr>
              <w:t>10.4%</w:t>
            </w:r>
          </w:p>
        </w:tc>
        <w:tc>
          <w:tcPr>
            <w:tcW w:w="1401" w:type="dxa"/>
            <w:noWrap/>
            <w:vAlign w:val="center"/>
            <w:hideMark/>
          </w:tcPr>
          <w:p w14:paraId="259955AC" w14:textId="77777777" w:rsidR="00C94F45" w:rsidRPr="006D00D9" w:rsidRDefault="00C94F45" w:rsidP="00E91A5A">
            <w:pPr>
              <w:jc w:val="both"/>
            </w:pPr>
            <w:r>
              <w:rPr>
                <w:color w:val="000000"/>
              </w:rPr>
              <w:t>8.1%</w:t>
            </w:r>
          </w:p>
        </w:tc>
        <w:tc>
          <w:tcPr>
            <w:tcW w:w="1519" w:type="dxa"/>
            <w:shd w:val="clear" w:color="auto" w:fill="DFDEDE" w:themeFill="text2" w:themeFillTint="33"/>
            <w:vAlign w:val="center"/>
          </w:tcPr>
          <w:p w14:paraId="06787244" w14:textId="77777777" w:rsidR="00C94F45" w:rsidRPr="006D00D9" w:rsidRDefault="00C94F45" w:rsidP="00E91A5A">
            <w:pPr>
              <w:jc w:val="both"/>
            </w:pPr>
            <w:r>
              <w:rPr>
                <w:color w:val="000000"/>
              </w:rPr>
              <w:t>2.3%</w:t>
            </w:r>
          </w:p>
        </w:tc>
      </w:tr>
      <w:tr w:rsidR="00C94F45" w:rsidRPr="006D00D9" w14:paraId="677F47F1" w14:textId="77777777" w:rsidTr="00C94F45">
        <w:trPr>
          <w:trHeight w:val="272"/>
        </w:trPr>
        <w:tc>
          <w:tcPr>
            <w:tcW w:w="4889" w:type="dxa"/>
            <w:noWrap/>
            <w:hideMark/>
          </w:tcPr>
          <w:p w14:paraId="68903A04" w14:textId="77777777" w:rsidR="00C94F45" w:rsidRPr="006D00D9" w:rsidRDefault="00C94F45" w:rsidP="00E91A5A">
            <w:pPr>
              <w:jc w:val="both"/>
            </w:pPr>
            <w:r w:rsidRPr="006D00D9">
              <w:t xml:space="preserve">65+ </w:t>
            </w:r>
          </w:p>
        </w:tc>
        <w:tc>
          <w:tcPr>
            <w:tcW w:w="1400" w:type="dxa"/>
            <w:noWrap/>
            <w:vAlign w:val="bottom"/>
            <w:hideMark/>
          </w:tcPr>
          <w:p w14:paraId="000EA178" w14:textId="77777777" w:rsidR="00C94F45" w:rsidRPr="00E85875" w:rsidRDefault="00C94F45" w:rsidP="00E91A5A">
            <w:pPr>
              <w:jc w:val="both"/>
              <w:rPr>
                <w:color w:val="000000"/>
              </w:rPr>
            </w:pPr>
            <w:r>
              <w:rPr>
                <w:color w:val="000000"/>
              </w:rPr>
              <w:t>11.9%</w:t>
            </w:r>
          </w:p>
        </w:tc>
        <w:tc>
          <w:tcPr>
            <w:tcW w:w="1401" w:type="dxa"/>
            <w:noWrap/>
            <w:vAlign w:val="center"/>
            <w:hideMark/>
          </w:tcPr>
          <w:p w14:paraId="4C552F4A" w14:textId="77777777" w:rsidR="00C94F45" w:rsidRPr="006D00D9" w:rsidRDefault="00C94F45" w:rsidP="00E91A5A">
            <w:pPr>
              <w:jc w:val="both"/>
            </w:pPr>
            <w:r>
              <w:rPr>
                <w:color w:val="000000"/>
              </w:rPr>
              <w:t>8.8%</w:t>
            </w:r>
          </w:p>
        </w:tc>
        <w:tc>
          <w:tcPr>
            <w:tcW w:w="1519" w:type="dxa"/>
            <w:shd w:val="clear" w:color="auto" w:fill="DFDEDE" w:themeFill="text2" w:themeFillTint="33"/>
            <w:vAlign w:val="center"/>
          </w:tcPr>
          <w:p w14:paraId="7B041AA6" w14:textId="77777777" w:rsidR="00C94F45" w:rsidRPr="006D00D9" w:rsidRDefault="00C94F45" w:rsidP="00E91A5A">
            <w:pPr>
              <w:jc w:val="both"/>
            </w:pPr>
            <w:r>
              <w:rPr>
                <w:color w:val="000000"/>
              </w:rPr>
              <w:t>3.1%</w:t>
            </w:r>
          </w:p>
        </w:tc>
      </w:tr>
      <w:tr w:rsidR="00C94F45" w:rsidRPr="006D00D9" w14:paraId="7220843B" w14:textId="77777777" w:rsidTr="00C94F45">
        <w:trPr>
          <w:trHeight w:val="272"/>
        </w:trPr>
        <w:tc>
          <w:tcPr>
            <w:tcW w:w="4889" w:type="dxa"/>
            <w:noWrap/>
            <w:hideMark/>
          </w:tcPr>
          <w:p w14:paraId="18F7C949" w14:textId="77777777" w:rsidR="00C94F45" w:rsidRPr="006D00D9" w:rsidRDefault="00C94F45" w:rsidP="00E91A5A">
            <w:pPr>
              <w:jc w:val="both"/>
            </w:pPr>
            <w:r w:rsidRPr="006D00D9">
              <w:t xml:space="preserve">Unknown </w:t>
            </w:r>
          </w:p>
        </w:tc>
        <w:tc>
          <w:tcPr>
            <w:tcW w:w="1400" w:type="dxa"/>
            <w:noWrap/>
            <w:vAlign w:val="bottom"/>
            <w:hideMark/>
          </w:tcPr>
          <w:p w14:paraId="74F1BC19" w14:textId="77777777" w:rsidR="00C94F45" w:rsidRPr="00E85875" w:rsidRDefault="00C94F45" w:rsidP="00E91A5A">
            <w:pPr>
              <w:jc w:val="both"/>
              <w:rPr>
                <w:color w:val="000000"/>
              </w:rPr>
            </w:pPr>
            <w:r>
              <w:rPr>
                <w:color w:val="000000"/>
              </w:rPr>
              <w:t>5.4%</w:t>
            </w:r>
          </w:p>
        </w:tc>
        <w:tc>
          <w:tcPr>
            <w:tcW w:w="1401" w:type="dxa"/>
            <w:noWrap/>
            <w:vAlign w:val="center"/>
            <w:hideMark/>
          </w:tcPr>
          <w:p w14:paraId="78CA0F54" w14:textId="77777777" w:rsidR="00C94F45" w:rsidRPr="006D00D9" w:rsidRDefault="00C94F45" w:rsidP="00E91A5A">
            <w:pPr>
              <w:jc w:val="both"/>
            </w:pPr>
            <w:r>
              <w:rPr>
                <w:color w:val="000000"/>
              </w:rPr>
              <w:t>7.8%</w:t>
            </w:r>
          </w:p>
        </w:tc>
        <w:tc>
          <w:tcPr>
            <w:tcW w:w="1519" w:type="dxa"/>
            <w:shd w:val="clear" w:color="auto" w:fill="DFDEDE" w:themeFill="text2" w:themeFillTint="33"/>
            <w:vAlign w:val="center"/>
          </w:tcPr>
          <w:p w14:paraId="7ABAFA48" w14:textId="77777777" w:rsidR="00C94F45" w:rsidRPr="006D00D9" w:rsidRDefault="00C94F45" w:rsidP="00E91A5A">
            <w:pPr>
              <w:jc w:val="both"/>
            </w:pPr>
            <w:r>
              <w:rPr>
                <w:color w:val="000000"/>
              </w:rPr>
              <w:t>-2.4%</w:t>
            </w:r>
          </w:p>
        </w:tc>
      </w:tr>
    </w:tbl>
    <w:p w14:paraId="647DB0CF" w14:textId="77777777" w:rsidR="00C94F45" w:rsidRDefault="00C94F45" w:rsidP="00E91A5A">
      <w:pPr>
        <w:jc w:val="both"/>
      </w:pPr>
    </w:p>
    <w:tbl>
      <w:tblPr>
        <w:tblStyle w:val="TableGrid"/>
        <w:tblW w:w="9209" w:type="dxa"/>
        <w:tblLook w:val="04A0" w:firstRow="1" w:lastRow="0" w:firstColumn="1" w:lastColumn="0" w:noHBand="0" w:noVBand="1"/>
      </w:tblPr>
      <w:tblGrid>
        <w:gridCol w:w="4889"/>
        <w:gridCol w:w="1400"/>
        <w:gridCol w:w="1401"/>
        <w:gridCol w:w="1519"/>
      </w:tblGrid>
      <w:tr w:rsidR="00C94F45" w:rsidRPr="006D00D9" w14:paraId="5AC68CC6" w14:textId="77777777" w:rsidTr="00C94F45">
        <w:trPr>
          <w:trHeight w:val="293"/>
        </w:trPr>
        <w:tc>
          <w:tcPr>
            <w:tcW w:w="4889" w:type="dxa"/>
            <w:noWrap/>
            <w:hideMark/>
          </w:tcPr>
          <w:p w14:paraId="44F4EC43" w14:textId="77777777" w:rsidR="00C94F45" w:rsidRPr="00AD2078" w:rsidRDefault="00C94F45" w:rsidP="00E91A5A">
            <w:pPr>
              <w:jc w:val="both"/>
              <w:rPr>
                <w:b/>
                <w:bCs/>
                <w:color w:val="000000" w:themeColor="text1"/>
              </w:rPr>
            </w:pPr>
            <w:r w:rsidRPr="00AD2078">
              <w:rPr>
                <w:b/>
                <w:bCs/>
                <w:color w:val="000000" w:themeColor="text1"/>
              </w:rPr>
              <w:t>Ethnicity</w:t>
            </w:r>
          </w:p>
        </w:tc>
        <w:tc>
          <w:tcPr>
            <w:tcW w:w="1400" w:type="dxa"/>
            <w:noWrap/>
            <w:hideMark/>
          </w:tcPr>
          <w:p w14:paraId="031891DF" w14:textId="77777777" w:rsidR="00C94F45" w:rsidRPr="00AD2078" w:rsidRDefault="00C94F45" w:rsidP="00E91A5A">
            <w:pPr>
              <w:jc w:val="both"/>
              <w:rPr>
                <w:color w:val="000000" w:themeColor="text1"/>
              </w:rPr>
            </w:pPr>
            <w:r w:rsidRPr="00AD2078">
              <w:rPr>
                <w:color w:val="000000" w:themeColor="text1"/>
              </w:rPr>
              <w:t>Sample</w:t>
            </w:r>
          </w:p>
        </w:tc>
        <w:tc>
          <w:tcPr>
            <w:tcW w:w="1401" w:type="dxa"/>
            <w:noWrap/>
            <w:hideMark/>
          </w:tcPr>
          <w:p w14:paraId="60A0CF15" w14:textId="77777777" w:rsidR="00C94F45" w:rsidRPr="00AD2078" w:rsidRDefault="00C94F45" w:rsidP="00E91A5A">
            <w:pPr>
              <w:jc w:val="both"/>
              <w:rPr>
                <w:color w:val="000000" w:themeColor="text1"/>
              </w:rPr>
            </w:pPr>
            <w:r w:rsidRPr="00AD2078">
              <w:rPr>
                <w:color w:val="000000" w:themeColor="text1"/>
              </w:rPr>
              <w:t>Database</w:t>
            </w:r>
          </w:p>
        </w:tc>
        <w:tc>
          <w:tcPr>
            <w:tcW w:w="1519" w:type="dxa"/>
          </w:tcPr>
          <w:p w14:paraId="143545E1" w14:textId="77777777" w:rsidR="00C94F45" w:rsidRPr="00AD2078" w:rsidRDefault="00C94F45" w:rsidP="00E91A5A">
            <w:pPr>
              <w:jc w:val="both"/>
              <w:rPr>
                <w:color w:val="000000" w:themeColor="text1"/>
              </w:rPr>
            </w:pPr>
            <w:r w:rsidRPr="00AD2078">
              <w:rPr>
                <w:color w:val="000000" w:themeColor="text1"/>
              </w:rPr>
              <w:t>Difference</w:t>
            </w:r>
          </w:p>
        </w:tc>
      </w:tr>
      <w:tr w:rsidR="00C94F45" w:rsidRPr="006D00D9" w14:paraId="0EFF1A40" w14:textId="77777777" w:rsidTr="00C94F45">
        <w:trPr>
          <w:trHeight w:val="293"/>
        </w:trPr>
        <w:tc>
          <w:tcPr>
            <w:tcW w:w="4889" w:type="dxa"/>
            <w:noWrap/>
            <w:vAlign w:val="center"/>
            <w:hideMark/>
          </w:tcPr>
          <w:p w14:paraId="0E135F13" w14:textId="77777777" w:rsidR="00C94F45" w:rsidRPr="00AD2078" w:rsidRDefault="00C94F45" w:rsidP="00E91A5A">
            <w:pPr>
              <w:jc w:val="both"/>
              <w:rPr>
                <w:color w:val="000000" w:themeColor="text1"/>
              </w:rPr>
            </w:pPr>
            <w:r>
              <w:rPr>
                <w:color w:val="000000" w:themeColor="text1"/>
              </w:rPr>
              <w:t xml:space="preserve">Not known </w:t>
            </w:r>
          </w:p>
        </w:tc>
        <w:tc>
          <w:tcPr>
            <w:tcW w:w="1400" w:type="dxa"/>
            <w:noWrap/>
            <w:vAlign w:val="center"/>
            <w:hideMark/>
          </w:tcPr>
          <w:p w14:paraId="183318E6" w14:textId="77777777" w:rsidR="00C94F45" w:rsidRPr="00AD2078" w:rsidRDefault="00C94F45" w:rsidP="00E91A5A">
            <w:pPr>
              <w:jc w:val="both"/>
              <w:rPr>
                <w:color w:val="000000" w:themeColor="text1"/>
              </w:rPr>
            </w:pPr>
            <w:r>
              <w:rPr>
                <w:color w:val="000000"/>
              </w:rPr>
              <w:t>70.0%</w:t>
            </w:r>
          </w:p>
        </w:tc>
        <w:tc>
          <w:tcPr>
            <w:tcW w:w="1401" w:type="dxa"/>
            <w:noWrap/>
            <w:vAlign w:val="center"/>
            <w:hideMark/>
          </w:tcPr>
          <w:p w14:paraId="7B4EDD7C" w14:textId="77777777" w:rsidR="00C94F45" w:rsidRPr="00AD2078" w:rsidRDefault="00C94F45" w:rsidP="00E91A5A">
            <w:pPr>
              <w:jc w:val="both"/>
              <w:rPr>
                <w:color w:val="000000" w:themeColor="text1"/>
              </w:rPr>
            </w:pPr>
            <w:r>
              <w:rPr>
                <w:color w:val="000000" w:themeColor="text1"/>
              </w:rPr>
              <w:t>74.5%</w:t>
            </w:r>
          </w:p>
        </w:tc>
        <w:tc>
          <w:tcPr>
            <w:tcW w:w="1519" w:type="dxa"/>
            <w:shd w:val="clear" w:color="auto" w:fill="DFDEDE" w:themeFill="text2" w:themeFillTint="33"/>
            <w:vAlign w:val="center"/>
          </w:tcPr>
          <w:p w14:paraId="1B93C527" w14:textId="77777777" w:rsidR="00C94F45" w:rsidRPr="00AD2078" w:rsidRDefault="00C94F45" w:rsidP="00E91A5A">
            <w:pPr>
              <w:jc w:val="both"/>
              <w:rPr>
                <w:color w:val="000000" w:themeColor="text1"/>
              </w:rPr>
            </w:pPr>
            <w:r>
              <w:rPr>
                <w:color w:val="000000"/>
              </w:rPr>
              <w:t>-4.5%</w:t>
            </w:r>
          </w:p>
        </w:tc>
      </w:tr>
      <w:tr w:rsidR="00C94F45" w:rsidRPr="006D00D9" w14:paraId="5736B2A4" w14:textId="77777777" w:rsidTr="00C94F45">
        <w:trPr>
          <w:trHeight w:val="293"/>
        </w:trPr>
        <w:tc>
          <w:tcPr>
            <w:tcW w:w="4889" w:type="dxa"/>
            <w:noWrap/>
            <w:vAlign w:val="center"/>
            <w:hideMark/>
          </w:tcPr>
          <w:p w14:paraId="6B9EBBC0" w14:textId="77777777" w:rsidR="00C94F45" w:rsidRPr="00AD2078" w:rsidRDefault="00C94F45" w:rsidP="00E91A5A">
            <w:pPr>
              <w:jc w:val="both"/>
              <w:rPr>
                <w:color w:val="000000" w:themeColor="text1"/>
              </w:rPr>
            </w:pPr>
            <w:r>
              <w:rPr>
                <w:color w:val="000000" w:themeColor="text1"/>
              </w:rPr>
              <w:t xml:space="preserve">White </w:t>
            </w:r>
          </w:p>
        </w:tc>
        <w:tc>
          <w:tcPr>
            <w:tcW w:w="1400" w:type="dxa"/>
            <w:noWrap/>
            <w:vAlign w:val="center"/>
            <w:hideMark/>
          </w:tcPr>
          <w:p w14:paraId="43959EEC" w14:textId="77777777" w:rsidR="00C94F45" w:rsidRPr="00AD2078" w:rsidRDefault="00C94F45" w:rsidP="00E91A5A">
            <w:pPr>
              <w:jc w:val="both"/>
              <w:rPr>
                <w:color w:val="000000" w:themeColor="text1"/>
              </w:rPr>
            </w:pPr>
            <w:r>
              <w:rPr>
                <w:color w:val="000000"/>
              </w:rPr>
              <w:t>24.6%</w:t>
            </w:r>
          </w:p>
        </w:tc>
        <w:tc>
          <w:tcPr>
            <w:tcW w:w="1401" w:type="dxa"/>
            <w:noWrap/>
            <w:vAlign w:val="center"/>
            <w:hideMark/>
          </w:tcPr>
          <w:p w14:paraId="5DFEAC68" w14:textId="77777777" w:rsidR="00C94F45" w:rsidRPr="00AD2078" w:rsidRDefault="00C94F45" w:rsidP="00E91A5A">
            <w:pPr>
              <w:jc w:val="both"/>
              <w:rPr>
                <w:color w:val="000000" w:themeColor="text1"/>
              </w:rPr>
            </w:pPr>
            <w:r>
              <w:rPr>
                <w:color w:val="000000" w:themeColor="text1"/>
              </w:rPr>
              <w:t>24.0%</w:t>
            </w:r>
          </w:p>
        </w:tc>
        <w:tc>
          <w:tcPr>
            <w:tcW w:w="1519" w:type="dxa"/>
            <w:shd w:val="clear" w:color="auto" w:fill="DFDEDE" w:themeFill="text2" w:themeFillTint="33"/>
            <w:vAlign w:val="center"/>
          </w:tcPr>
          <w:p w14:paraId="0E290879" w14:textId="77777777" w:rsidR="00C94F45" w:rsidRPr="00AD2078" w:rsidRDefault="00C94F45" w:rsidP="00E91A5A">
            <w:pPr>
              <w:jc w:val="both"/>
              <w:rPr>
                <w:color w:val="000000" w:themeColor="text1"/>
              </w:rPr>
            </w:pPr>
            <w:r>
              <w:rPr>
                <w:color w:val="000000"/>
              </w:rPr>
              <w:t>0.6%</w:t>
            </w:r>
          </w:p>
        </w:tc>
      </w:tr>
      <w:tr w:rsidR="00C94F45" w:rsidRPr="006D00D9" w14:paraId="0513363E" w14:textId="77777777" w:rsidTr="00C94F45">
        <w:trPr>
          <w:trHeight w:val="293"/>
        </w:trPr>
        <w:tc>
          <w:tcPr>
            <w:tcW w:w="4889" w:type="dxa"/>
            <w:noWrap/>
            <w:vAlign w:val="center"/>
            <w:hideMark/>
          </w:tcPr>
          <w:p w14:paraId="68702F9E" w14:textId="77777777" w:rsidR="00C94F45" w:rsidRPr="00AD2078" w:rsidRDefault="00C94F45" w:rsidP="00E91A5A">
            <w:pPr>
              <w:jc w:val="both"/>
              <w:rPr>
                <w:color w:val="000000" w:themeColor="text1"/>
              </w:rPr>
            </w:pPr>
            <w:proofErr w:type="gramStart"/>
            <w:r>
              <w:rPr>
                <w:color w:val="000000" w:themeColor="text1"/>
              </w:rPr>
              <w:t>Other</w:t>
            </w:r>
            <w:proofErr w:type="gramEnd"/>
            <w:r>
              <w:rPr>
                <w:color w:val="000000" w:themeColor="text1"/>
              </w:rPr>
              <w:t xml:space="preserve"> ethnic group </w:t>
            </w:r>
          </w:p>
        </w:tc>
        <w:tc>
          <w:tcPr>
            <w:tcW w:w="1400" w:type="dxa"/>
            <w:noWrap/>
            <w:vAlign w:val="center"/>
            <w:hideMark/>
          </w:tcPr>
          <w:p w14:paraId="32DFABC6" w14:textId="77777777" w:rsidR="00C94F45" w:rsidRPr="00AD2078" w:rsidRDefault="00C94F45" w:rsidP="00E91A5A">
            <w:pPr>
              <w:jc w:val="both"/>
              <w:rPr>
                <w:color w:val="000000" w:themeColor="text1"/>
              </w:rPr>
            </w:pPr>
            <w:r>
              <w:rPr>
                <w:color w:val="000000"/>
              </w:rPr>
              <w:t>2.5%</w:t>
            </w:r>
          </w:p>
        </w:tc>
        <w:tc>
          <w:tcPr>
            <w:tcW w:w="1401" w:type="dxa"/>
            <w:noWrap/>
            <w:vAlign w:val="center"/>
            <w:hideMark/>
          </w:tcPr>
          <w:p w14:paraId="49CD8992" w14:textId="77777777" w:rsidR="00C94F45" w:rsidRPr="00AD2078" w:rsidRDefault="00C94F45" w:rsidP="00E91A5A">
            <w:pPr>
              <w:jc w:val="both"/>
              <w:rPr>
                <w:color w:val="000000" w:themeColor="text1"/>
              </w:rPr>
            </w:pPr>
            <w:r>
              <w:rPr>
                <w:color w:val="000000" w:themeColor="text1"/>
              </w:rPr>
              <w:t>0.1%</w:t>
            </w:r>
          </w:p>
        </w:tc>
        <w:tc>
          <w:tcPr>
            <w:tcW w:w="1519" w:type="dxa"/>
            <w:shd w:val="clear" w:color="auto" w:fill="DFDEDE" w:themeFill="text2" w:themeFillTint="33"/>
            <w:vAlign w:val="center"/>
          </w:tcPr>
          <w:p w14:paraId="6D237A2E" w14:textId="77777777" w:rsidR="00C94F45" w:rsidRPr="00AD2078" w:rsidRDefault="00C94F45" w:rsidP="00E91A5A">
            <w:pPr>
              <w:jc w:val="both"/>
              <w:rPr>
                <w:color w:val="000000" w:themeColor="text1"/>
              </w:rPr>
            </w:pPr>
            <w:r>
              <w:rPr>
                <w:color w:val="000000"/>
              </w:rPr>
              <w:t>2.4%</w:t>
            </w:r>
          </w:p>
        </w:tc>
      </w:tr>
      <w:tr w:rsidR="00C94F45" w:rsidRPr="006D00D9" w14:paraId="6B2EF837" w14:textId="77777777" w:rsidTr="00C94F45">
        <w:trPr>
          <w:trHeight w:val="293"/>
        </w:trPr>
        <w:tc>
          <w:tcPr>
            <w:tcW w:w="4889" w:type="dxa"/>
            <w:noWrap/>
            <w:vAlign w:val="center"/>
            <w:hideMark/>
          </w:tcPr>
          <w:p w14:paraId="4D14A1FE" w14:textId="77777777" w:rsidR="00C94F45" w:rsidRPr="00AD2078" w:rsidRDefault="00C94F45" w:rsidP="00E91A5A">
            <w:pPr>
              <w:jc w:val="both"/>
              <w:rPr>
                <w:color w:val="000000" w:themeColor="text1"/>
              </w:rPr>
            </w:pPr>
            <w:r>
              <w:rPr>
                <w:color w:val="000000" w:themeColor="text1"/>
              </w:rPr>
              <w:t xml:space="preserve">Black, Black British, </w:t>
            </w:r>
            <w:proofErr w:type="gramStart"/>
            <w:r>
              <w:rPr>
                <w:color w:val="000000" w:themeColor="text1"/>
              </w:rPr>
              <w:t>Caribbean</w:t>
            </w:r>
            <w:proofErr w:type="gramEnd"/>
            <w:r>
              <w:rPr>
                <w:color w:val="000000" w:themeColor="text1"/>
              </w:rPr>
              <w:t xml:space="preserve"> or African </w:t>
            </w:r>
          </w:p>
        </w:tc>
        <w:tc>
          <w:tcPr>
            <w:tcW w:w="1400" w:type="dxa"/>
            <w:noWrap/>
            <w:vAlign w:val="center"/>
            <w:hideMark/>
          </w:tcPr>
          <w:p w14:paraId="2B977354" w14:textId="77777777" w:rsidR="00C94F45" w:rsidRPr="00AD2078" w:rsidRDefault="00C94F45" w:rsidP="00E91A5A">
            <w:pPr>
              <w:jc w:val="both"/>
              <w:rPr>
                <w:color w:val="000000" w:themeColor="text1"/>
              </w:rPr>
            </w:pPr>
            <w:r>
              <w:rPr>
                <w:color w:val="000000"/>
              </w:rPr>
              <w:t>2.0%</w:t>
            </w:r>
          </w:p>
        </w:tc>
        <w:tc>
          <w:tcPr>
            <w:tcW w:w="1401" w:type="dxa"/>
            <w:noWrap/>
            <w:vAlign w:val="center"/>
            <w:hideMark/>
          </w:tcPr>
          <w:p w14:paraId="6C302020" w14:textId="77777777" w:rsidR="00C94F45" w:rsidRPr="00AD2078" w:rsidRDefault="00C94F45" w:rsidP="00E91A5A">
            <w:pPr>
              <w:jc w:val="both"/>
              <w:rPr>
                <w:color w:val="000000" w:themeColor="text1"/>
              </w:rPr>
            </w:pPr>
            <w:r>
              <w:rPr>
                <w:color w:val="000000" w:themeColor="text1"/>
              </w:rPr>
              <w:t>0.8%</w:t>
            </w:r>
          </w:p>
        </w:tc>
        <w:tc>
          <w:tcPr>
            <w:tcW w:w="1519" w:type="dxa"/>
            <w:shd w:val="clear" w:color="auto" w:fill="DFDEDE" w:themeFill="text2" w:themeFillTint="33"/>
            <w:vAlign w:val="center"/>
          </w:tcPr>
          <w:p w14:paraId="0D4D57D3" w14:textId="77777777" w:rsidR="00C94F45" w:rsidRPr="00AD2078" w:rsidRDefault="00C94F45" w:rsidP="00E91A5A">
            <w:pPr>
              <w:jc w:val="both"/>
              <w:rPr>
                <w:color w:val="000000" w:themeColor="text1"/>
              </w:rPr>
            </w:pPr>
            <w:r>
              <w:rPr>
                <w:color w:val="000000"/>
              </w:rPr>
              <w:t>1.2%</w:t>
            </w:r>
          </w:p>
        </w:tc>
      </w:tr>
      <w:tr w:rsidR="00C94F45" w:rsidRPr="006D00D9" w14:paraId="7D1CC6ED" w14:textId="77777777" w:rsidTr="00C94F45">
        <w:trPr>
          <w:trHeight w:val="293"/>
        </w:trPr>
        <w:tc>
          <w:tcPr>
            <w:tcW w:w="4889" w:type="dxa"/>
            <w:noWrap/>
            <w:vAlign w:val="center"/>
            <w:hideMark/>
          </w:tcPr>
          <w:p w14:paraId="03F54986" w14:textId="77777777" w:rsidR="00C94F45" w:rsidRPr="00AD2078" w:rsidRDefault="00C94F45" w:rsidP="00E91A5A">
            <w:pPr>
              <w:jc w:val="both"/>
              <w:rPr>
                <w:color w:val="000000" w:themeColor="text1"/>
              </w:rPr>
            </w:pPr>
            <w:r>
              <w:rPr>
                <w:color w:val="000000" w:themeColor="text1"/>
              </w:rPr>
              <w:t xml:space="preserve">Mixed or multiple ethnic groups </w:t>
            </w:r>
          </w:p>
        </w:tc>
        <w:tc>
          <w:tcPr>
            <w:tcW w:w="1400" w:type="dxa"/>
            <w:noWrap/>
            <w:vAlign w:val="center"/>
            <w:hideMark/>
          </w:tcPr>
          <w:p w14:paraId="741250C0" w14:textId="77777777" w:rsidR="00C94F45" w:rsidRPr="00AD2078" w:rsidRDefault="00C94F45" w:rsidP="00E91A5A">
            <w:pPr>
              <w:jc w:val="both"/>
              <w:rPr>
                <w:color w:val="000000" w:themeColor="text1"/>
              </w:rPr>
            </w:pPr>
            <w:r>
              <w:rPr>
                <w:color w:val="000000"/>
              </w:rPr>
              <w:t>1.0%</w:t>
            </w:r>
          </w:p>
        </w:tc>
        <w:tc>
          <w:tcPr>
            <w:tcW w:w="1401" w:type="dxa"/>
            <w:noWrap/>
            <w:vAlign w:val="center"/>
            <w:hideMark/>
          </w:tcPr>
          <w:p w14:paraId="7DB0C2FE" w14:textId="77777777" w:rsidR="00C94F45" w:rsidRPr="00AD2078" w:rsidRDefault="00C94F45" w:rsidP="00E91A5A">
            <w:pPr>
              <w:jc w:val="both"/>
              <w:rPr>
                <w:color w:val="000000" w:themeColor="text1"/>
              </w:rPr>
            </w:pPr>
            <w:r>
              <w:rPr>
                <w:color w:val="000000" w:themeColor="text1"/>
              </w:rPr>
              <w:t>0.4%</w:t>
            </w:r>
          </w:p>
        </w:tc>
        <w:tc>
          <w:tcPr>
            <w:tcW w:w="1519" w:type="dxa"/>
            <w:shd w:val="clear" w:color="auto" w:fill="DFDEDE" w:themeFill="text2" w:themeFillTint="33"/>
            <w:vAlign w:val="center"/>
          </w:tcPr>
          <w:p w14:paraId="01358430" w14:textId="77777777" w:rsidR="00C94F45" w:rsidRPr="00AD2078" w:rsidRDefault="00C94F45" w:rsidP="00E91A5A">
            <w:pPr>
              <w:jc w:val="both"/>
              <w:rPr>
                <w:color w:val="000000" w:themeColor="text1"/>
              </w:rPr>
            </w:pPr>
            <w:r>
              <w:rPr>
                <w:color w:val="000000"/>
              </w:rPr>
              <w:t>0.6%</w:t>
            </w:r>
          </w:p>
        </w:tc>
      </w:tr>
      <w:tr w:rsidR="00C94F45" w:rsidRPr="006D00D9" w14:paraId="55722364" w14:textId="77777777" w:rsidTr="00C94F45">
        <w:trPr>
          <w:trHeight w:val="293"/>
        </w:trPr>
        <w:tc>
          <w:tcPr>
            <w:tcW w:w="4889" w:type="dxa"/>
            <w:noWrap/>
            <w:vAlign w:val="center"/>
            <w:hideMark/>
          </w:tcPr>
          <w:p w14:paraId="540879B8" w14:textId="77777777" w:rsidR="00C94F45" w:rsidRPr="00AD2078" w:rsidRDefault="00C94F45" w:rsidP="00E91A5A">
            <w:pPr>
              <w:jc w:val="both"/>
              <w:rPr>
                <w:color w:val="000000" w:themeColor="text1"/>
              </w:rPr>
            </w:pPr>
            <w:r>
              <w:rPr>
                <w:color w:val="000000" w:themeColor="text1"/>
              </w:rPr>
              <w:t xml:space="preserve">Asian or Asian British </w:t>
            </w:r>
          </w:p>
        </w:tc>
        <w:tc>
          <w:tcPr>
            <w:tcW w:w="1400" w:type="dxa"/>
            <w:noWrap/>
            <w:vAlign w:val="center"/>
            <w:hideMark/>
          </w:tcPr>
          <w:p w14:paraId="64326461" w14:textId="77777777" w:rsidR="00C94F45" w:rsidRPr="00AD2078" w:rsidRDefault="00C94F45" w:rsidP="00E91A5A">
            <w:pPr>
              <w:jc w:val="both"/>
              <w:rPr>
                <w:color w:val="000000" w:themeColor="text1"/>
              </w:rPr>
            </w:pPr>
            <w:r>
              <w:rPr>
                <w:color w:val="000000"/>
              </w:rPr>
              <w:t>0.0%</w:t>
            </w:r>
          </w:p>
        </w:tc>
        <w:tc>
          <w:tcPr>
            <w:tcW w:w="1401" w:type="dxa"/>
            <w:noWrap/>
            <w:vAlign w:val="center"/>
            <w:hideMark/>
          </w:tcPr>
          <w:p w14:paraId="7C41C396" w14:textId="77777777" w:rsidR="00C94F45" w:rsidRPr="00AD2078" w:rsidRDefault="00C94F45" w:rsidP="00E91A5A">
            <w:pPr>
              <w:jc w:val="both"/>
              <w:rPr>
                <w:color w:val="000000" w:themeColor="text1"/>
              </w:rPr>
            </w:pPr>
            <w:r>
              <w:rPr>
                <w:color w:val="000000" w:themeColor="text1"/>
              </w:rPr>
              <w:t>0.1%</w:t>
            </w:r>
          </w:p>
        </w:tc>
        <w:tc>
          <w:tcPr>
            <w:tcW w:w="1519" w:type="dxa"/>
            <w:shd w:val="clear" w:color="auto" w:fill="DFDEDE" w:themeFill="text2" w:themeFillTint="33"/>
            <w:vAlign w:val="center"/>
          </w:tcPr>
          <w:p w14:paraId="01F95658" w14:textId="77777777" w:rsidR="00C94F45" w:rsidRPr="00AD2078" w:rsidRDefault="00C94F45" w:rsidP="00E91A5A">
            <w:pPr>
              <w:jc w:val="both"/>
              <w:rPr>
                <w:color w:val="000000" w:themeColor="text1"/>
              </w:rPr>
            </w:pPr>
            <w:r>
              <w:rPr>
                <w:color w:val="000000"/>
              </w:rPr>
              <w:t>-0.1%</w:t>
            </w:r>
          </w:p>
        </w:tc>
      </w:tr>
    </w:tbl>
    <w:p w14:paraId="16C4A0BB" w14:textId="77777777" w:rsidR="00C94F45" w:rsidRDefault="00C94F45" w:rsidP="00E91A5A">
      <w:pPr>
        <w:jc w:val="both"/>
      </w:pPr>
    </w:p>
    <w:tbl>
      <w:tblPr>
        <w:tblStyle w:val="TableGrid"/>
        <w:tblW w:w="9209" w:type="dxa"/>
        <w:tblLook w:val="04A0" w:firstRow="1" w:lastRow="0" w:firstColumn="1" w:lastColumn="0" w:noHBand="0" w:noVBand="1"/>
      </w:tblPr>
      <w:tblGrid>
        <w:gridCol w:w="4889"/>
        <w:gridCol w:w="1400"/>
        <w:gridCol w:w="1401"/>
        <w:gridCol w:w="1519"/>
      </w:tblGrid>
      <w:tr w:rsidR="00C94F45" w:rsidRPr="006D00D9" w14:paraId="6A5CB6AC" w14:textId="77777777" w:rsidTr="00C94F45">
        <w:trPr>
          <w:trHeight w:val="271"/>
        </w:trPr>
        <w:tc>
          <w:tcPr>
            <w:tcW w:w="4889" w:type="dxa"/>
            <w:noWrap/>
            <w:hideMark/>
          </w:tcPr>
          <w:p w14:paraId="1056D18C" w14:textId="77777777" w:rsidR="00C94F45" w:rsidRPr="006D00D9" w:rsidRDefault="00C94F45" w:rsidP="00E91A5A">
            <w:pPr>
              <w:jc w:val="both"/>
              <w:rPr>
                <w:b/>
                <w:bCs/>
              </w:rPr>
            </w:pPr>
            <w:r w:rsidRPr="006D00D9">
              <w:rPr>
                <w:b/>
                <w:bCs/>
              </w:rPr>
              <w:t>Local Authority</w:t>
            </w:r>
          </w:p>
        </w:tc>
        <w:tc>
          <w:tcPr>
            <w:tcW w:w="1400" w:type="dxa"/>
            <w:noWrap/>
            <w:hideMark/>
          </w:tcPr>
          <w:p w14:paraId="6DB19065" w14:textId="77777777" w:rsidR="00C94F45" w:rsidRPr="006D00D9" w:rsidRDefault="00C94F45" w:rsidP="00E91A5A">
            <w:pPr>
              <w:jc w:val="both"/>
            </w:pPr>
            <w:r w:rsidRPr="006D00D9">
              <w:t>Sample</w:t>
            </w:r>
          </w:p>
        </w:tc>
        <w:tc>
          <w:tcPr>
            <w:tcW w:w="1401" w:type="dxa"/>
            <w:noWrap/>
            <w:hideMark/>
          </w:tcPr>
          <w:p w14:paraId="4FFD56CC" w14:textId="77777777" w:rsidR="00C94F45" w:rsidRPr="006D00D9" w:rsidRDefault="00C94F45" w:rsidP="00E91A5A">
            <w:pPr>
              <w:jc w:val="both"/>
            </w:pPr>
            <w:r w:rsidRPr="006D00D9">
              <w:t>Database</w:t>
            </w:r>
          </w:p>
        </w:tc>
        <w:tc>
          <w:tcPr>
            <w:tcW w:w="1519" w:type="dxa"/>
          </w:tcPr>
          <w:p w14:paraId="44F79D5C" w14:textId="77777777" w:rsidR="00C94F45" w:rsidRPr="006D00D9" w:rsidRDefault="00C94F45" w:rsidP="00E91A5A">
            <w:pPr>
              <w:jc w:val="both"/>
            </w:pPr>
            <w:r>
              <w:t>Difference</w:t>
            </w:r>
          </w:p>
        </w:tc>
      </w:tr>
      <w:tr w:rsidR="00C94F45" w:rsidRPr="006D00D9" w14:paraId="4F2B6F53" w14:textId="77777777" w:rsidTr="00C94F45">
        <w:trPr>
          <w:trHeight w:val="271"/>
        </w:trPr>
        <w:tc>
          <w:tcPr>
            <w:tcW w:w="4889" w:type="dxa"/>
            <w:noWrap/>
            <w:vAlign w:val="center"/>
            <w:hideMark/>
          </w:tcPr>
          <w:p w14:paraId="01D8E60A" w14:textId="77777777" w:rsidR="00C94F45" w:rsidRPr="006D00D9" w:rsidRDefault="00C94F45" w:rsidP="00E91A5A">
            <w:pPr>
              <w:jc w:val="both"/>
            </w:pPr>
            <w:r>
              <w:rPr>
                <w:color w:val="000000"/>
              </w:rPr>
              <w:t xml:space="preserve">Bath &amp; </w:t>
            </w:r>
            <w:proofErr w:type="gramStart"/>
            <w:r>
              <w:rPr>
                <w:color w:val="000000"/>
              </w:rPr>
              <w:t>North East</w:t>
            </w:r>
            <w:proofErr w:type="gramEnd"/>
            <w:r>
              <w:rPr>
                <w:color w:val="000000"/>
              </w:rPr>
              <w:t xml:space="preserve"> Somerset</w:t>
            </w:r>
          </w:p>
        </w:tc>
        <w:tc>
          <w:tcPr>
            <w:tcW w:w="1400" w:type="dxa"/>
            <w:noWrap/>
            <w:vAlign w:val="bottom"/>
            <w:hideMark/>
          </w:tcPr>
          <w:p w14:paraId="78FDC347" w14:textId="77777777" w:rsidR="00C94F45" w:rsidRPr="001D7535" w:rsidRDefault="00C94F45" w:rsidP="00E91A5A">
            <w:pPr>
              <w:jc w:val="both"/>
              <w:rPr>
                <w:color w:val="000000"/>
              </w:rPr>
            </w:pPr>
            <w:r>
              <w:rPr>
                <w:color w:val="000000"/>
              </w:rPr>
              <w:t>36.9%</w:t>
            </w:r>
          </w:p>
        </w:tc>
        <w:tc>
          <w:tcPr>
            <w:tcW w:w="1401" w:type="dxa"/>
            <w:noWrap/>
            <w:vAlign w:val="center"/>
            <w:hideMark/>
          </w:tcPr>
          <w:p w14:paraId="3A397D19" w14:textId="77777777" w:rsidR="00C94F45" w:rsidRPr="006D00D9" w:rsidRDefault="00C94F45" w:rsidP="00E91A5A">
            <w:pPr>
              <w:jc w:val="both"/>
            </w:pPr>
            <w:r>
              <w:rPr>
                <w:color w:val="000000"/>
              </w:rPr>
              <w:t>43.6%</w:t>
            </w:r>
          </w:p>
        </w:tc>
        <w:tc>
          <w:tcPr>
            <w:tcW w:w="1519" w:type="dxa"/>
            <w:shd w:val="clear" w:color="auto" w:fill="DFDEDE" w:themeFill="text2" w:themeFillTint="33"/>
            <w:vAlign w:val="center"/>
          </w:tcPr>
          <w:p w14:paraId="4A80EDB1" w14:textId="77777777" w:rsidR="00C94F45" w:rsidRPr="006D00D9" w:rsidRDefault="00C94F45" w:rsidP="00E91A5A">
            <w:pPr>
              <w:jc w:val="both"/>
            </w:pPr>
            <w:r>
              <w:rPr>
                <w:color w:val="000000"/>
              </w:rPr>
              <w:t>-6.7%</w:t>
            </w:r>
          </w:p>
        </w:tc>
      </w:tr>
      <w:tr w:rsidR="00C94F45" w:rsidRPr="006D00D9" w14:paraId="03B54E98" w14:textId="77777777" w:rsidTr="00C94F45">
        <w:trPr>
          <w:trHeight w:val="271"/>
        </w:trPr>
        <w:tc>
          <w:tcPr>
            <w:tcW w:w="4889" w:type="dxa"/>
            <w:noWrap/>
            <w:vAlign w:val="center"/>
            <w:hideMark/>
          </w:tcPr>
          <w:p w14:paraId="505A9CB1" w14:textId="77777777" w:rsidR="00C94F45" w:rsidRPr="006D00D9" w:rsidRDefault="00C94F45" w:rsidP="00E91A5A">
            <w:pPr>
              <w:jc w:val="both"/>
            </w:pPr>
            <w:r>
              <w:rPr>
                <w:color w:val="000000"/>
              </w:rPr>
              <w:t>South Gloucestershire</w:t>
            </w:r>
          </w:p>
        </w:tc>
        <w:tc>
          <w:tcPr>
            <w:tcW w:w="1400" w:type="dxa"/>
            <w:noWrap/>
            <w:vAlign w:val="bottom"/>
            <w:hideMark/>
          </w:tcPr>
          <w:p w14:paraId="3F3A0E77" w14:textId="77777777" w:rsidR="00C94F45" w:rsidRPr="001D7535" w:rsidRDefault="00C94F45" w:rsidP="00E91A5A">
            <w:pPr>
              <w:jc w:val="both"/>
              <w:rPr>
                <w:color w:val="000000"/>
              </w:rPr>
            </w:pPr>
            <w:r>
              <w:rPr>
                <w:color w:val="000000"/>
              </w:rPr>
              <w:t>18.2%</w:t>
            </w:r>
          </w:p>
        </w:tc>
        <w:tc>
          <w:tcPr>
            <w:tcW w:w="1401" w:type="dxa"/>
            <w:noWrap/>
            <w:vAlign w:val="center"/>
            <w:hideMark/>
          </w:tcPr>
          <w:p w14:paraId="3149AEBE" w14:textId="77777777" w:rsidR="00C94F45" w:rsidRPr="006D00D9" w:rsidRDefault="00C94F45" w:rsidP="00E91A5A">
            <w:pPr>
              <w:jc w:val="both"/>
            </w:pPr>
            <w:r>
              <w:rPr>
                <w:color w:val="000000"/>
              </w:rPr>
              <w:t>16.5%</w:t>
            </w:r>
          </w:p>
        </w:tc>
        <w:tc>
          <w:tcPr>
            <w:tcW w:w="1519" w:type="dxa"/>
            <w:shd w:val="clear" w:color="auto" w:fill="DFDEDE" w:themeFill="text2" w:themeFillTint="33"/>
            <w:vAlign w:val="center"/>
          </w:tcPr>
          <w:p w14:paraId="72C17BBF" w14:textId="77777777" w:rsidR="00C94F45" w:rsidRPr="006D00D9" w:rsidRDefault="00C94F45" w:rsidP="00E91A5A">
            <w:pPr>
              <w:jc w:val="both"/>
            </w:pPr>
            <w:r>
              <w:rPr>
                <w:color w:val="000000"/>
              </w:rPr>
              <w:t>1.7%</w:t>
            </w:r>
          </w:p>
        </w:tc>
      </w:tr>
      <w:tr w:rsidR="00C94F45" w:rsidRPr="006D00D9" w14:paraId="3A2F722B" w14:textId="77777777" w:rsidTr="00C94F45">
        <w:trPr>
          <w:trHeight w:val="271"/>
        </w:trPr>
        <w:tc>
          <w:tcPr>
            <w:tcW w:w="4889" w:type="dxa"/>
            <w:noWrap/>
            <w:vAlign w:val="center"/>
            <w:hideMark/>
          </w:tcPr>
          <w:p w14:paraId="5D94C89A" w14:textId="77777777" w:rsidR="00C94F45" w:rsidRPr="006D00D9" w:rsidRDefault="00C94F45" w:rsidP="00E91A5A">
            <w:pPr>
              <w:jc w:val="both"/>
            </w:pPr>
            <w:r>
              <w:rPr>
                <w:color w:val="000000"/>
              </w:rPr>
              <w:t>Wiltshire</w:t>
            </w:r>
          </w:p>
        </w:tc>
        <w:tc>
          <w:tcPr>
            <w:tcW w:w="1400" w:type="dxa"/>
            <w:noWrap/>
            <w:vAlign w:val="bottom"/>
            <w:hideMark/>
          </w:tcPr>
          <w:p w14:paraId="2FE09C4E" w14:textId="77777777" w:rsidR="00C94F45" w:rsidRPr="001D7535" w:rsidRDefault="00C94F45" w:rsidP="00E91A5A">
            <w:pPr>
              <w:jc w:val="both"/>
              <w:rPr>
                <w:color w:val="000000"/>
              </w:rPr>
            </w:pPr>
            <w:r>
              <w:rPr>
                <w:color w:val="000000"/>
              </w:rPr>
              <w:t>17.2%</w:t>
            </w:r>
          </w:p>
        </w:tc>
        <w:tc>
          <w:tcPr>
            <w:tcW w:w="1401" w:type="dxa"/>
            <w:noWrap/>
            <w:vAlign w:val="center"/>
            <w:hideMark/>
          </w:tcPr>
          <w:p w14:paraId="56D92670" w14:textId="77777777" w:rsidR="00C94F45" w:rsidRPr="006D00D9" w:rsidRDefault="00C94F45" w:rsidP="00E91A5A">
            <w:pPr>
              <w:jc w:val="both"/>
            </w:pPr>
            <w:r>
              <w:rPr>
                <w:color w:val="000000"/>
              </w:rPr>
              <w:t>17.1%</w:t>
            </w:r>
          </w:p>
        </w:tc>
        <w:tc>
          <w:tcPr>
            <w:tcW w:w="1519" w:type="dxa"/>
            <w:shd w:val="clear" w:color="auto" w:fill="DFDEDE" w:themeFill="text2" w:themeFillTint="33"/>
            <w:vAlign w:val="center"/>
          </w:tcPr>
          <w:p w14:paraId="63A4892D" w14:textId="77777777" w:rsidR="00C94F45" w:rsidRPr="006D00D9" w:rsidRDefault="00C94F45" w:rsidP="00E91A5A">
            <w:pPr>
              <w:jc w:val="both"/>
            </w:pPr>
            <w:r>
              <w:rPr>
                <w:color w:val="000000"/>
              </w:rPr>
              <w:t>0.1%</w:t>
            </w:r>
          </w:p>
        </w:tc>
      </w:tr>
      <w:tr w:rsidR="00C94F45" w:rsidRPr="006D00D9" w14:paraId="3A1DA83F" w14:textId="77777777" w:rsidTr="00C94F45">
        <w:trPr>
          <w:trHeight w:val="271"/>
        </w:trPr>
        <w:tc>
          <w:tcPr>
            <w:tcW w:w="4889" w:type="dxa"/>
            <w:noWrap/>
            <w:vAlign w:val="center"/>
            <w:hideMark/>
          </w:tcPr>
          <w:p w14:paraId="493BA7E6" w14:textId="77777777" w:rsidR="00C94F45" w:rsidRPr="006D00D9" w:rsidRDefault="00C94F45" w:rsidP="00E91A5A">
            <w:pPr>
              <w:jc w:val="both"/>
            </w:pPr>
            <w:r>
              <w:rPr>
                <w:color w:val="000000"/>
              </w:rPr>
              <w:t>Bristol</w:t>
            </w:r>
          </w:p>
        </w:tc>
        <w:tc>
          <w:tcPr>
            <w:tcW w:w="1400" w:type="dxa"/>
            <w:noWrap/>
            <w:vAlign w:val="bottom"/>
            <w:hideMark/>
          </w:tcPr>
          <w:p w14:paraId="10A4F8F3" w14:textId="77777777" w:rsidR="00C94F45" w:rsidRPr="001D7535" w:rsidRDefault="00C94F45" w:rsidP="00E91A5A">
            <w:pPr>
              <w:jc w:val="both"/>
              <w:rPr>
                <w:color w:val="000000"/>
              </w:rPr>
            </w:pPr>
            <w:r>
              <w:rPr>
                <w:color w:val="000000"/>
              </w:rPr>
              <w:t>16.3%</w:t>
            </w:r>
          </w:p>
        </w:tc>
        <w:tc>
          <w:tcPr>
            <w:tcW w:w="1401" w:type="dxa"/>
            <w:noWrap/>
            <w:vAlign w:val="center"/>
            <w:hideMark/>
          </w:tcPr>
          <w:p w14:paraId="23EF4650" w14:textId="77777777" w:rsidR="00C94F45" w:rsidRPr="006D00D9" w:rsidRDefault="00C94F45" w:rsidP="00E91A5A">
            <w:pPr>
              <w:jc w:val="both"/>
            </w:pPr>
            <w:r>
              <w:rPr>
                <w:color w:val="000000"/>
              </w:rPr>
              <w:t>14.5%</w:t>
            </w:r>
          </w:p>
        </w:tc>
        <w:tc>
          <w:tcPr>
            <w:tcW w:w="1519" w:type="dxa"/>
            <w:shd w:val="clear" w:color="auto" w:fill="DFDEDE" w:themeFill="text2" w:themeFillTint="33"/>
            <w:vAlign w:val="center"/>
          </w:tcPr>
          <w:p w14:paraId="2D694235" w14:textId="77777777" w:rsidR="00C94F45" w:rsidRPr="006D00D9" w:rsidRDefault="00C94F45" w:rsidP="00E91A5A">
            <w:pPr>
              <w:jc w:val="both"/>
            </w:pPr>
            <w:r>
              <w:rPr>
                <w:color w:val="000000"/>
              </w:rPr>
              <w:t>1.8%</w:t>
            </w:r>
          </w:p>
        </w:tc>
      </w:tr>
      <w:tr w:rsidR="00C94F45" w:rsidRPr="006D00D9" w14:paraId="342E6D3F" w14:textId="77777777" w:rsidTr="00C94F45">
        <w:trPr>
          <w:trHeight w:val="271"/>
        </w:trPr>
        <w:tc>
          <w:tcPr>
            <w:tcW w:w="4889" w:type="dxa"/>
            <w:noWrap/>
            <w:vAlign w:val="center"/>
            <w:hideMark/>
          </w:tcPr>
          <w:p w14:paraId="1ECC4D2F" w14:textId="77777777" w:rsidR="00C94F45" w:rsidRPr="006D00D9" w:rsidRDefault="00C94F45" w:rsidP="00E91A5A">
            <w:pPr>
              <w:jc w:val="both"/>
            </w:pPr>
            <w:r>
              <w:rPr>
                <w:color w:val="000000"/>
              </w:rPr>
              <w:t>North Somerset</w:t>
            </w:r>
          </w:p>
        </w:tc>
        <w:tc>
          <w:tcPr>
            <w:tcW w:w="1400" w:type="dxa"/>
            <w:noWrap/>
            <w:vAlign w:val="bottom"/>
            <w:hideMark/>
          </w:tcPr>
          <w:p w14:paraId="1EB9C4D1" w14:textId="77777777" w:rsidR="00C94F45" w:rsidRPr="001D7535" w:rsidRDefault="00C94F45" w:rsidP="00E91A5A">
            <w:pPr>
              <w:jc w:val="both"/>
              <w:rPr>
                <w:color w:val="000000"/>
              </w:rPr>
            </w:pPr>
            <w:r>
              <w:rPr>
                <w:color w:val="000000"/>
              </w:rPr>
              <w:t>10.8%</w:t>
            </w:r>
          </w:p>
        </w:tc>
        <w:tc>
          <w:tcPr>
            <w:tcW w:w="1401" w:type="dxa"/>
            <w:noWrap/>
            <w:vAlign w:val="center"/>
            <w:hideMark/>
          </w:tcPr>
          <w:p w14:paraId="57C03701" w14:textId="77777777" w:rsidR="00C94F45" w:rsidRPr="006D00D9" w:rsidRDefault="00C94F45" w:rsidP="00E91A5A">
            <w:pPr>
              <w:jc w:val="both"/>
            </w:pPr>
            <w:r>
              <w:rPr>
                <w:color w:val="000000"/>
              </w:rPr>
              <w:t>6.8%</w:t>
            </w:r>
          </w:p>
        </w:tc>
        <w:tc>
          <w:tcPr>
            <w:tcW w:w="1519" w:type="dxa"/>
            <w:shd w:val="clear" w:color="auto" w:fill="DFDEDE" w:themeFill="text2" w:themeFillTint="33"/>
            <w:vAlign w:val="center"/>
          </w:tcPr>
          <w:p w14:paraId="040AFA3B" w14:textId="77777777" w:rsidR="00C94F45" w:rsidRPr="006D00D9" w:rsidRDefault="00C94F45" w:rsidP="00E91A5A">
            <w:pPr>
              <w:jc w:val="both"/>
            </w:pPr>
            <w:r>
              <w:rPr>
                <w:color w:val="000000"/>
              </w:rPr>
              <w:t>4.0%</w:t>
            </w:r>
          </w:p>
        </w:tc>
      </w:tr>
      <w:tr w:rsidR="00C94F45" w:rsidRPr="006D00D9" w14:paraId="1D3C7835" w14:textId="77777777" w:rsidTr="00C94F45">
        <w:trPr>
          <w:trHeight w:val="271"/>
        </w:trPr>
        <w:tc>
          <w:tcPr>
            <w:tcW w:w="4889" w:type="dxa"/>
            <w:noWrap/>
            <w:vAlign w:val="center"/>
            <w:hideMark/>
          </w:tcPr>
          <w:p w14:paraId="7421CC1F" w14:textId="77777777" w:rsidR="00C94F45" w:rsidRPr="006D00D9" w:rsidRDefault="00C94F45" w:rsidP="00E91A5A">
            <w:pPr>
              <w:jc w:val="both"/>
            </w:pPr>
            <w:r>
              <w:rPr>
                <w:color w:val="000000"/>
              </w:rPr>
              <w:t>Mendip</w:t>
            </w:r>
          </w:p>
        </w:tc>
        <w:tc>
          <w:tcPr>
            <w:tcW w:w="1400" w:type="dxa"/>
            <w:noWrap/>
            <w:vAlign w:val="bottom"/>
            <w:hideMark/>
          </w:tcPr>
          <w:p w14:paraId="4FA0B0FB" w14:textId="77777777" w:rsidR="00C94F45" w:rsidRPr="001D7535" w:rsidRDefault="00C94F45" w:rsidP="00E91A5A">
            <w:pPr>
              <w:jc w:val="both"/>
              <w:rPr>
                <w:color w:val="000000"/>
              </w:rPr>
            </w:pPr>
            <w:r>
              <w:rPr>
                <w:color w:val="000000"/>
              </w:rPr>
              <w:t>0.5%</w:t>
            </w:r>
          </w:p>
        </w:tc>
        <w:tc>
          <w:tcPr>
            <w:tcW w:w="1401" w:type="dxa"/>
            <w:noWrap/>
            <w:vAlign w:val="center"/>
            <w:hideMark/>
          </w:tcPr>
          <w:p w14:paraId="62B2606D" w14:textId="77777777" w:rsidR="00C94F45" w:rsidRPr="006D00D9" w:rsidRDefault="00C94F45" w:rsidP="00E91A5A">
            <w:pPr>
              <w:jc w:val="both"/>
            </w:pPr>
            <w:r>
              <w:rPr>
                <w:color w:val="000000"/>
              </w:rPr>
              <w:t>1.4%</w:t>
            </w:r>
          </w:p>
        </w:tc>
        <w:tc>
          <w:tcPr>
            <w:tcW w:w="1519" w:type="dxa"/>
            <w:shd w:val="clear" w:color="auto" w:fill="DFDEDE" w:themeFill="text2" w:themeFillTint="33"/>
            <w:vAlign w:val="center"/>
          </w:tcPr>
          <w:p w14:paraId="702A2E3B" w14:textId="77777777" w:rsidR="00C94F45" w:rsidRPr="006D00D9" w:rsidRDefault="00C94F45" w:rsidP="00E91A5A">
            <w:pPr>
              <w:jc w:val="both"/>
            </w:pPr>
            <w:r>
              <w:rPr>
                <w:color w:val="000000"/>
              </w:rPr>
              <w:t>-0.9%</w:t>
            </w:r>
          </w:p>
        </w:tc>
      </w:tr>
      <w:tr w:rsidR="00C94F45" w:rsidRPr="006D00D9" w14:paraId="329AE109" w14:textId="77777777" w:rsidTr="00C94F45">
        <w:trPr>
          <w:trHeight w:val="271"/>
        </w:trPr>
        <w:tc>
          <w:tcPr>
            <w:tcW w:w="4889" w:type="dxa"/>
            <w:noWrap/>
            <w:vAlign w:val="center"/>
            <w:hideMark/>
          </w:tcPr>
          <w:p w14:paraId="33DC5CF3" w14:textId="77777777" w:rsidR="00C94F45" w:rsidRPr="006D00D9" w:rsidRDefault="00C94F45" w:rsidP="00E91A5A">
            <w:pPr>
              <w:jc w:val="both"/>
            </w:pPr>
            <w:r>
              <w:rPr>
                <w:color w:val="000000"/>
              </w:rPr>
              <w:t>Cotswold</w:t>
            </w:r>
          </w:p>
        </w:tc>
        <w:tc>
          <w:tcPr>
            <w:tcW w:w="1400" w:type="dxa"/>
            <w:noWrap/>
            <w:vAlign w:val="center"/>
            <w:hideMark/>
          </w:tcPr>
          <w:p w14:paraId="27E6ABFF" w14:textId="77777777" w:rsidR="00C94F45" w:rsidRPr="006D00D9" w:rsidRDefault="00C94F45" w:rsidP="00E91A5A">
            <w:pPr>
              <w:jc w:val="both"/>
            </w:pPr>
            <w:r>
              <w:rPr>
                <w:color w:val="000000"/>
              </w:rPr>
              <w:t>0.0%</w:t>
            </w:r>
          </w:p>
        </w:tc>
        <w:tc>
          <w:tcPr>
            <w:tcW w:w="1401" w:type="dxa"/>
            <w:noWrap/>
            <w:vAlign w:val="center"/>
            <w:hideMark/>
          </w:tcPr>
          <w:p w14:paraId="576127AF" w14:textId="77777777" w:rsidR="00C94F45" w:rsidRPr="006D00D9" w:rsidRDefault="00C94F45" w:rsidP="00E91A5A">
            <w:pPr>
              <w:jc w:val="both"/>
            </w:pPr>
            <w:r>
              <w:rPr>
                <w:color w:val="000000"/>
              </w:rPr>
              <w:t>0.0%</w:t>
            </w:r>
          </w:p>
        </w:tc>
        <w:tc>
          <w:tcPr>
            <w:tcW w:w="1519" w:type="dxa"/>
            <w:shd w:val="clear" w:color="auto" w:fill="DFDEDE" w:themeFill="text2" w:themeFillTint="33"/>
            <w:vAlign w:val="center"/>
          </w:tcPr>
          <w:p w14:paraId="453C3A71" w14:textId="77777777" w:rsidR="00C94F45" w:rsidRPr="006D00D9" w:rsidRDefault="00C94F45" w:rsidP="00E91A5A">
            <w:pPr>
              <w:jc w:val="both"/>
            </w:pPr>
            <w:r>
              <w:rPr>
                <w:color w:val="000000"/>
              </w:rPr>
              <w:t>0.0%</w:t>
            </w:r>
          </w:p>
        </w:tc>
      </w:tr>
    </w:tbl>
    <w:p w14:paraId="7B8DA23E" w14:textId="39D66FD6" w:rsidR="0034024B" w:rsidRDefault="0034024B" w:rsidP="00E91A5A">
      <w:pPr>
        <w:pStyle w:val="Heading3"/>
        <w:jc w:val="both"/>
      </w:pPr>
    </w:p>
    <w:p w14:paraId="2F2BE66D" w14:textId="77777777" w:rsidR="0034024B" w:rsidRPr="0034024B" w:rsidRDefault="0034024B" w:rsidP="00E91A5A">
      <w:pPr>
        <w:jc w:val="both"/>
      </w:pPr>
    </w:p>
    <w:sectPr w:rsidR="0034024B" w:rsidRPr="003402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24B"/>
    <w:rsid w:val="00102C50"/>
    <w:rsid w:val="0034024B"/>
    <w:rsid w:val="00462C12"/>
    <w:rsid w:val="00496588"/>
    <w:rsid w:val="00575FFA"/>
    <w:rsid w:val="00784B08"/>
    <w:rsid w:val="00825118"/>
    <w:rsid w:val="008547F9"/>
    <w:rsid w:val="00964F24"/>
    <w:rsid w:val="009711B0"/>
    <w:rsid w:val="009E112C"/>
    <w:rsid w:val="00A97D5D"/>
    <w:rsid w:val="00AD0DBD"/>
    <w:rsid w:val="00B4163F"/>
    <w:rsid w:val="00BA4C37"/>
    <w:rsid w:val="00C94F45"/>
    <w:rsid w:val="00CF3095"/>
    <w:rsid w:val="00DF068B"/>
    <w:rsid w:val="00DF6FF8"/>
    <w:rsid w:val="00E01E21"/>
    <w:rsid w:val="00E91A5A"/>
    <w:rsid w:val="00EC4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509DD"/>
  <w15:chartTrackingRefBased/>
  <w15:docId w15:val="{758B90F6-1871-4DA5-AC2A-9DD11729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BE4"/>
    <w:rPr>
      <w:rFonts w:asciiTheme="minorHAnsi" w:hAnsiTheme="minorHAnsi"/>
      <w:sz w:val="22"/>
      <w:szCs w:val="22"/>
      <w:lang w:eastAsia="en-US"/>
    </w:rPr>
  </w:style>
  <w:style w:type="paragraph" w:styleId="Heading1">
    <w:name w:val="heading 1"/>
    <w:basedOn w:val="Normal"/>
    <w:next w:val="Normal"/>
    <w:link w:val="Heading1Char"/>
    <w:uiPriority w:val="9"/>
    <w:qFormat/>
    <w:rsid w:val="00496588"/>
    <w:pPr>
      <w:keepNext/>
      <w:keepLines/>
      <w:spacing w:before="480"/>
      <w:outlineLvl w:val="0"/>
    </w:pPr>
    <w:rPr>
      <w:rFonts w:asciiTheme="majorHAnsi" w:eastAsiaTheme="majorEastAsia" w:hAnsiTheme="majorHAnsi" w:cstheme="majorBidi"/>
      <w:b/>
      <w:bCs/>
      <w:color w:val="000000" w:themeColor="text1"/>
      <w:sz w:val="36"/>
      <w:szCs w:val="28"/>
    </w:rPr>
  </w:style>
  <w:style w:type="paragraph" w:styleId="Heading2">
    <w:name w:val="heading 2"/>
    <w:basedOn w:val="Normal"/>
    <w:next w:val="Normal"/>
    <w:link w:val="Heading2Char"/>
    <w:uiPriority w:val="9"/>
    <w:unhideWhenUsed/>
    <w:qFormat/>
    <w:rsid w:val="00496588"/>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rsid w:val="00496588"/>
    <w:pPr>
      <w:keepNext/>
      <w:keepLines/>
      <w:spacing w:before="20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496588"/>
    <w:pPr>
      <w:keepNext/>
      <w:keepLines/>
      <w:spacing w:before="200"/>
      <w:outlineLvl w:val="3"/>
    </w:pPr>
    <w:rPr>
      <w:rFonts w:asciiTheme="majorHAnsi" w:eastAsiaTheme="majorEastAsia" w:hAnsiTheme="majorHAnsi" w:cstheme="majorBidi"/>
      <w:bCs/>
      <w:i/>
      <w:iCs/>
      <w:color w:val="000000" w:themeColor="text1"/>
    </w:rPr>
  </w:style>
  <w:style w:type="paragraph" w:styleId="Heading5">
    <w:name w:val="heading 5"/>
    <w:basedOn w:val="Normal"/>
    <w:next w:val="Normal"/>
    <w:link w:val="Heading5Char"/>
    <w:uiPriority w:val="9"/>
    <w:unhideWhenUsed/>
    <w:qFormat/>
    <w:rsid w:val="00496588"/>
    <w:pPr>
      <w:keepNext/>
      <w:keepLines/>
      <w:spacing w:before="200"/>
      <w:outlineLvl w:val="4"/>
    </w:pPr>
    <w:rPr>
      <w:rFonts w:asciiTheme="majorHAnsi" w:eastAsiaTheme="majorEastAsia" w:hAnsiTheme="majorHAnsi" w:cstheme="majorBidi"/>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588"/>
    <w:rPr>
      <w:rFonts w:asciiTheme="majorHAnsi" w:eastAsiaTheme="majorEastAsia" w:hAnsiTheme="majorHAnsi" w:cstheme="majorBidi"/>
      <w:b/>
      <w:bCs/>
      <w:color w:val="000000" w:themeColor="text1"/>
      <w:sz w:val="36"/>
      <w:szCs w:val="28"/>
      <w:lang w:eastAsia="en-US"/>
    </w:rPr>
  </w:style>
  <w:style w:type="paragraph" w:styleId="Title">
    <w:name w:val="Title"/>
    <w:basedOn w:val="Normal"/>
    <w:next w:val="Normal"/>
    <w:link w:val="TitleChar"/>
    <w:uiPriority w:val="10"/>
    <w:qFormat/>
    <w:rsid w:val="00496588"/>
    <w:pPr>
      <w:spacing w:after="300"/>
      <w:contextualSpacing/>
    </w:pPr>
    <w:rPr>
      <w:rFonts w:asciiTheme="majorHAnsi" w:eastAsiaTheme="majorEastAsia" w:hAnsiTheme="majorHAnsi" w:cstheme="majorBidi"/>
      <w:b/>
      <w:color w:val="000000" w:themeColor="text1"/>
      <w:spacing w:val="5"/>
      <w:kern w:val="28"/>
      <w:sz w:val="52"/>
      <w:szCs w:val="52"/>
    </w:rPr>
  </w:style>
  <w:style w:type="character" w:customStyle="1" w:styleId="TitleChar">
    <w:name w:val="Title Char"/>
    <w:basedOn w:val="DefaultParagraphFont"/>
    <w:link w:val="Title"/>
    <w:uiPriority w:val="10"/>
    <w:rsid w:val="00496588"/>
    <w:rPr>
      <w:rFonts w:asciiTheme="majorHAnsi" w:eastAsiaTheme="majorEastAsia" w:hAnsiTheme="majorHAnsi" w:cstheme="majorBidi"/>
      <w:b/>
      <w:color w:val="000000" w:themeColor="text1"/>
      <w:spacing w:val="5"/>
      <w:kern w:val="28"/>
      <w:sz w:val="52"/>
      <w:szCs w:val="52"/>
      <w:lang w:eastAsia="en-US"/>
    </w:rPr>
  </w:style>
  <w:style w:type="character" w:customStyle="1" w:styleId="Heading2Char">
    <w:name w:val="Heading 2 Char"/>
    <w:basedOn w:val="DefaultParagraphFont"/>
    <w:link w:val="Heading2"/>
    <w:uiPriority w:val="9"/>
    <w:rsid w:val="00496588"/>
    <w:rPr>
      <w:rFonts w:asciiTheme="majorHAnsi" w:eastAsiaTheme="majorEastAsia" w:hAnsiTheme="majorHAnsi" w:cstheme="majorBidi"/>
      <w:b/>
      <w:bCs/>
      <w:color w:val="000000" w:themeColor="text1"/>
      <w:sz w:val="26"/>
      <w:szCs w:val="26"/>
      <w:lang w:eastAsia="en-US"/>
    </w:rPr>
  </w:style>
  <w:style w:type="character" w:customStyle="1" w:styleId="Heading3Char">
    <w:name w:val="Heading 3 Char"/>
    <w:basedOn w:val="DefaultParagraphFont"/>
    <w:link w:val="Heading3"/>
    <w:uiPriority w:val="9"/>
    <w:rsid w:val="00496588"/>
    <w:rPr>
      <w:rFonts w:asciiTheme="majorHAnsi" w:eastAsiaTheme="majorEastAsia" w:hAnsiTheme="majorHAnsi" w:cstheme="majorBidi"/>
      <w:b/>
      <w:bCs/>
      <w:color w:val="000000" w:themeColor="text1"/>
      <w:sz w:val="22"/>
      <w:szCs w:val="22"/>
      <w:lang w:eastAsia="en-US"/>
    </w:rPr>
  </w:style>
  <w:style w:type="character" w:customStyle="1" w:styleId="Heading4Char">
    <w:name w:val="Heading 4 Char"/>
    <w:basedOn w:val="DefaultParagraphFont"/>
    <w:link w:val="Heading4"/>
    <w:uiPriority w:val="9"/>
    <w:rsid w:val="00496588"/>
    <w:rPr>
      <w:rFonts w:asciiTheme="majorHAnsi" w:eastAsiaTheme="majorEastAsia" w:hAnsiTheme="majorHAnsi" w:cstheme="majorBidi"/>
      <w:bCs/>
      <w:i/>
      <w:iCs/>
      <w:color w:val="000000" w:themeColor="text1"/>
      <w:sz w:val="22"/>
      <w:szCs w:val="22"/>
      <w:lang w:eastAsia="en-US"/>
    </w:rPr>
  </w:style>
  <w:style w:type="character" w:customStyle="1" w:styleId="Heading5Char">
    <w:name w:val="Heading 5 Char"/>
    <w:basedOn w:val="DefaultParagraphFont"/>
    <w:link w:val="Heading5"/>
    <w:uiPriority w:val="9"/>
    <w:rsid w:val="00496588"/>
    <w:rPr>
      <w:rFonts w:asciiTheme="majorHAnsi" w:eastAsiaTheme="majorEastAsia" w:hAnsiTheme="majorHAnsi" w:cstheme="majorBidi"/>
      <w:i/>
      <w:color w:val="000000" w:themeColor="text1"/>
      <w:sz w:val="22"/>
      <w:szCs w:val="22"/>
      <w:lang w:eastAsia="en-US"/>
    </w:rPr>
  </w:style>
  <w:style w:type="table" w:styleId="TableGrid">
    <w:name w:val="Table Grid"/>
    <w:basedOn w:val="TableNormal"/>
    <w:uiPriority w:val="39"/>
    <w:rsid w:val="00C94F4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uro">
  <a:themeElements>
    <a:clrScheme name="Curo">
      <a:dk1>
        <a:sysClr val="windowText" lastClr="000000"/>
      </a:dk1>
      <a:lt1>
        <a:srgbClr val="C0DC3B"/>
      </a:lt1>
      <a:dk2>
        <a:srgbClr val="625E5E"/>
      </a:dk2>
      <a:lt2>
        <a:srgbClr val="868282"/>
      </a:lt2>
      <a:accent1>
        <a:srgbClr val="D4D2D1"/>
      </a:accent1>
      <a:accent2>
        <a:srgbClr val="C0DC3B"/>
      </a:accent2>
      <a:accent3>
        <a:srgbClr val="FFFFFF"/>
      </a:accent3>
      <a:accent4>
        <a:srgbClr val="FFFFFF"/>
      </a:accent4>
      <a:accent5>
        <a:srgbClr val="FFFFFF"/>
      </a:accent5>
      <a:accent6>
        <a:srgbClr val="FFFFFF"/>
      </a:accent6>
      <a:hlink>
        <a:srgbClr val="625E5E"/>
      </a:hlink>
      <a:folHlink>
        <a:srgbClr val="868282"/>
      </a:folHlink>
    </a:clrScheme>
    <a:fontScheme name="Cur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11B2D-F20C-4D6A-B9B2-7005ED5E5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Curo Group</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Bird</dc:creator>
  <cp:keywords/>
  <dc:description/>
  <cp:lastModifiedBy>Ed Bramall</cp:lastModifiedBy>
  <cp:revision>4</cp:revision>
  <dcterms:created xsi:type="dcterms:W3CDTF">2024-09-11T13:29:00Z</dcterms:created>
  <dcterms:modified xsi:type="dcterms:W3CDTF">2024-09-11T13:37:00Z</dcterms:modified>
</cp:coreProperties>
</file>